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9ED" w:rsidRPr="00455CCD" w:rsidRDefault="002039ED" w:rsidP="001E664D">
      <w:pPr>
        <w:pStyle w:val="fp"/>
        <w:rPr>
          <w:sz w:val="20"/>
          <w:szCs w:val="20"/>
        </w:rPr>
      </w:pPr>
      <w:r w:rsidRPr="00455CCD">
        <w:rPr>
          <w:sz w:val="20"/>
          <w:szCs w:val="20"/>
        </w:rPr>
        <w:t xml:space="preserve">Title 40: Protection of Environment </w:t>
      </w:r>
      <w:r w:rsidRPr="00455CCD">
        <w:rPr>
          <w:sz w:val="20"/>
          <w:szCs w:val="20"/>
        </w:rPr>
        <w:br/>
      </w:r>
      <w:hyperlink r:id="rId7" w:history="1">
        <w:r w:rsidRPr="00455CCD">
          <w:rPr>
            <w:rStyle w:val="Hyperlink"/>
            <w:color w:val="auto"/>
            <w:sz w:val="20"/>
            <w:szCs w:val="20"/>
          </w:rPr>
          <w:t>PART 63—NATIONAL EMISSION STANDARDS FOR HAZARDOUS AIR POLLUTANTS FOR SOURCE CATEGORIES (CONTINUED)</w:t>
        </w:r>
      </w:hyperlink>
      <w:r w:rsidRPr="00455CCD">
        <w:rPr>
          <w:sz w:val="20"/>
          <w:szCs w:val="20"/>
        </w:rPr>
        <w:t xml:space="preserve"> </w:t>
      </w:r>
    </w:p>
    <w:p w:rsidR="002039ED" w:rsidRPr="00455CCD" w:rsidRDefault="002039ED" w:rsidP="001E664D">
      <w:pPr>
        <w:rPr>
          <w:sz w:val="20"/>
          <w:szCs w:val="20"/>
        </w:rPr>
      </w:pPr>
      <w:r w:rsidRPr="00455CCD">
        <w:rPr>
          <w:sz w:val="20"/>
          <w:szCs w:val="20"/>
        </w:rPr>
        <w:pict>
          <v:rect id="_x0000_i1025" style="width:0;height:1.5pt" o:hrstd="t" o:hr="t" fillcolor="#aca899" stroked="f"/>
        </w:pict>
      </w:r>
    </w:p>
    <w:p w:rsidR="002039ED" w:rsidRPr="00455CCD" w:rsidRDefault="002039ED" w:rsidP="001E664D">
      <w:pPr>
        <w:pStyle w:val="Heading2"/>
        <w:rPr>
          <w:rFonts w:ascii="Times New Roman" w:hAnsi="Times New Roman" w:cs="Times New Roman"/>
          <w:color w:val="auto"/>
          <w:sz w:val="20"/>
          <w:szCs w:val="20"/>
        </w:rPr>
      </w:pPr>
      <w:bookmarkStart w:id="0" w:name="_top"/>
      <w:bookmarkEnd w:id="0"/>
      <w:r w:rsidRPr="00455CCD">
        <w:rPr>
          <w:rFonts w:ascii="Times New Roman" w:hAnsi="Times New Roman" w:cs="Times New Roman"/>
          <w:color w:val="auto"/>
          <w:sz w:val="20"/>
          <w:szCs w:val="20"/>
        </w:rPr>
        <w:t>Subpart VVVV—National Emission Standards for Hazardous Air Pollutants for Boat Manufacturing</w:t>
      </w:r>
    </w:p>
    <w:p w:rsidR="002039ED" w:rsidRPr="00455CCD" w:rsidRDefault="002039ED" w:rsidP="001E664D">
      <w:pPr>
        <w:rPr>
          <w:sz w:val="20"/>
          <w:szCs w:val="20"/>
        </w:rPr>
      </w:pPr>
      <w:r w:rsidRPr="00455CCD">
        <w:rPr>
          <w:sz w:val="20"/>
          <w:szCs w:val="20"/>
        </w:rPr>
        <w:pict>
          <v:rect id="_x0000_i1026" style="width:0;height:1.5pt" o:hrstd="t" o:hr="t" fillcolor="#aca899" stroked="f"/>
        </w:pict>
      </w:r>
    </w:p>
    <w:p w:rsidR="002039ED" w:rsidRPr="00455CCD" w:rsidRDefault="002039ED" w:rsidP="001E664D">
      <w:pPr>
        <w:rPr>
          <w:sz w:val="20"/>
          <w:szCs w:val="20"/>
        </w:rPr>
      </w:pPr>
      <w:r w:rsidRPr="00455CCD">
        <w:rPr>
          <w:b/>
          <w:bCs/>
          <w:sz w:val="20"/>
          <w:szCs w:val="20"/>
        </w:rPr>
        <w:t>Contents</w:t>
      </w:r>
    </w:p>
    <w:p w:rsidR="002039ED" w:rsidRPr="00455CCD" w:rsidRDefault="002039ED" w:rsidP="001E664D">
      <w:pPr>
        <w:pStyle w:val="contentsg"/>
        <w:spacing w:before="0"/>
      </w:pPr>
      <w:hyperlink r:id="rId8" w:anchor="40:13.0.1.1.1.28.359" w:history="1">
        <w:r w:rsidRPr="00455CCD">
          <w:rPr>
            <w:rStyle w:val="Hyperlink"/>
            <w:color w:val="auto"/>
          </w:rPr>
          <w:t>What the Subpart Covers</w:t>
        </w:r>
      </w:hyperlink>
    </w:p>
    <w:p w:rsidR="002039ED" w:rsidRPr="00455CCD" w:rsidRDefault="002039ED" w:rsidP="001E664D">
      <w:pPr>
        <w:rPr>
          <w:sz w:val="20"/>
          <w:szCs w:val="20"/>
        </w:rPr>
      </w:pPr>
      <w:hyperlink r:id="rId9" w:anchor="40:13.0.1.1.1.28.359.1" w:history="1">
        <w:r w:rsidRPr="00455CCD">
          <w:rPr>
            <w:rStyle w:val="Hyperlink"/>
            <w:color w:val="auto"/>
            <w:sz w:val="20"/>
            <w:szCs w:val="20"/>
          </w:rPr>
          <w:t>§ 63.5680   What is the purpose of this subpart?</w:t>
        </w:r>
      </w:hyperlink>
      <w:r w:rsidRPr="00455CCD">
        <w:rPr>
          <w:sz w:val="20"/>
          <w:szCs w:val="20"/>
        </w:rPr>
        <w:br/>
      </w:r>
      <w:hyperlink r:id="rId10" w:anchor="40:13.0.1.1.1.28.359.2" w:history="1">
        <w:r w:rsidRPr="00455CCD">
          <w:rPr>
            <w:rStyle w:val="Hyperlink"/>
            <w:color w:val="auto"/>
            <w:sz w:val="20"/>
            <w:szCs w:val="20"/>
          </w:rPr>
          <w:t>§ 63.5683   Does this subpart apply to me?</w:t>
        </w:r>
      </w:hyperlink>
      <w:r w:rsidRPr="00455CCD">
        <w:rPr>
          <w:sz w:val="20"/>
          <w:szCs w:val="20"/>
        </w:rPr>
        <w:br/>
      </w:r>
      <w:hyperlink r:id="rId11" w:anchor="40:13.0.1.1.1.28.359.3" w:history="1">
        <w:r w:rsidRPr="00455CCD">
          <w:rPr>
            <w:rStyle w:val="Hyperlink"/>
            <w:color w:val="auto"/>
            <w:sz w:val="20"/>
            <w:szCs w:val="20"/>
          </w:rPr>
          <w:t>§ 63.5686   How do I demonstrate that my facility is not a major source?</w:t>
        </w:r>
      </w:hyperlink>
      <w:r w:rsidRPr="00455CCD">
        <w:rPr>
          <w:sz w:val="20"/>
          <w:szCs w:val="20"/>
        </w:rPr>
        <w:br/>
      </w:r>
      <w:hyperlink r:id="rId12" w:anchor="40:13.0.1.1.1.28.359.4" w:history="1">
        <w:r w:rsidRPr="00455CCD">
          <w:rPr>
            <w:rStyle w:val="Hyperlink"/>
            <w:color w:val="auto"/>
            <w:sz w:val="20"/>
            <w:szCs w:val="20"/>
          </w:rPr>
          <w:t>§ 63.5689   What parts of my facility are covered by this subpart?</w:t>
        </w:r>
      </w:hyperlink>
      <w:r w:rsidRPr="00455CCD">
        <w:rPr>
          <w:sz w:val="20"/>
          <w:szCs w:val="20"/>
        </w:rPr>
        <w:br/>
      </w:r>
      <w:hyperlink r:id="rId13" w:anchor="40:13.0.1.1.1.28.359.5" w:history="1">
        <w:r w:rsidRPr="00455CCD">
          <w:rPr>
            <w:rStyle w:val="Hyperlink"/>
            <w:color w:val="auto"/>
            <w:sz w:val="20"/>
            <w:szCs w:val="20"/>
          </w:rPr>
          <w:t>§ 63.5692   How do I know if my boat manufacturing facility is a new source or an existing source?</w:t>
        </w:r>
      </w:hyperlink>
      <w:r w:rsidRPr="00455CCD">
        <w:rPr>
          <w:sz w:val="20"/>
          <w:szCs w:val="20"/>
        </w:rPr>
        <w:br/>
      </w:r>
      <w:hyperlink r:id="rId14" w:anchor="40:13.0.1.1.1.28.359.6" w:history="1">
        <w:r w:rsidRPr="00455CCD">
          <w:rPr>
            <w:rStyle w:val="Hyperlink"/>
            <w:color w:val="auto"/>
            <w:sz w:val="20"/>
            <w:szCs w:val="20"/>
          </w:rPr>
          <w:t>§ 63.5695   When must I comply with this subpart?</w:t>
        </w:r>
      </w:hyperlink>
    </w:p>
    <w:p w:rsidR="002039ED" w:rsidRPr="00455CCD" w:rsidRDefault="002039ED" w:rsidP="001E664D">
      <w:pPr>
        <w:pStyle w:val="contentsg"/>
        <w:spacing w:before="0"/>
      </w:pPr>
      <w:hyperlink r:id="rId15" w:anchor="40:13.0.1.1.1.28.360" w:history="1">
        <w:r w:rsidRPr="00455CCD">
          <w:rPr>
            <w:rStyle w:val="Hyperlink"/>
            <w:color w:val="auto"/>
          </w:rPr>
          <w:t>Standards for Open Molding Resin and Gel Coat Operations</w:t>
        </w:r>
      </w:hyperlink>
    </w:p>
    <w:p w:rsidR="002039ED" w:rsidRPr="00455CCD" w:rsidRDefault="002039ED" w:rsidP="001E664D">
      <w:pPr>
        <w:rPr>
          <w:sz w:val="20"/>
          <w:szCs w:val="20"/>
        </w:rPr>
      </w:pPr>
      <w:hyperlink r:id="rId16" w:anchor="40:13.0.1.1.1.28.360.7" w:history="1">
        <w:r w:rsidRPr="00455CCD">
          <w:rPr>
            <w:rStyle w:val="Hyperlink"/>
            <w:color w:val="auto"/>
            <w:sz w:val="20"/>
            <w:szCs w:val="20"/>
          </w:rPr>
          <w:t>§ 63.5698   What emission limit must I meet for open molding resin and gel coat operations?</w:t>
        </w:r>
      </w:hyperlink>
      <w:r w:rsidRPr="00455CCD">
        <w:rPr>
          <w:sz w:val="20"/>
          <w:szCs w:val="20"/>
        </w:rPr>
        <w:br/>
      </w:r>
      <w:hyperlink r:id="rId17" w:anchor="40:13.0.1.1.1.28.360.8" w:history="1">
        <w:r w:rsidRPr="00455CCD">
          <w:rPr>
            <w:rStyle w:val="Hyperlink"/>
            <w:color w:val="auto"/>
            <w:sz w:val="20"/>
            <w:szCs w:val="20"/>
          </w:rPr>
          <w:t>§ 63.5701   What are my options for complying with the open molding emission limit?</w:t>
        </w:r>
      </w:hyperlink>
      <w:r w:rsidRPr="00455CCD">
        <w:rPr>
          <w:sz w:val="20"/>
          <w:szCs w:val="20"/>
        </w:rPr>
        <w:br/>
      </w:r>
      <w:hyperlink r:id="rId18" w:anchor="40:13.0.1.1.1.28.360.9" w:history="1">
        <w:r w:rsidRPr="00455CCD">
          <w:rPr>
            <w:rStyle w:val="Hyperlink"/>
            <w:color w:val="auto"/>
            <w:sz w:val="20"/>
            <w:szCs w:val="20"/>
          </w:rPr>
          <w:t>§ 63.5704   What are the general requirements for complying with the open molding emission limit?</w:t>
        </w:r>
      </w:hyperlink>
      <w:r w:rsidRPr="00455CCD">
        <w:rPr>
          <w:sz w:val="20"/>
          <w:szCs w:val="20"/>
        </w:rPr>
        <w:br/>
      </w:r>
      <w:hyperlink r:id="rId19" w:anchor="40:13.0.1.1.1.28.360.10" w:history="1">
        <w:r w:rsidRPr="00455CCD">
          <w:rPr>
            <w:rStyle w:val="Hyperlink"/>
            <w:color w:val="auto"/>
            <w:sz w:val="20"/>
            <w:szCs w:val="20"/>
          </w:rPr>
          <w:t>§ 63.5707   What is an implementation plan for open molding operations and when do I need to prepare one?</w:t>
        </w:r>
      </w:hyperlink>
      <w:r w:rsidRPr="00455CCD">
        <w:rPr>
          <w:sz w:val="20"/>
          <w:szCs w:val="20"/>
        </w:rPr>
        <w:br/>
      </w:r>
      <w:hyperlink r:id="rId20" w:anchor="40:13.0.1.1.1.28.360.11" w:history="1">
        <w:r w:rsidRPr="00455CCD">
          <w:rPr>
            <w:rStyle w:val="Hyperlink"/>
            <w:color w:val="auto"/>
            <w:sz w:val="20"/>
            <w:szCs w:val="20"/>
          </w:rPr>
          <w:t>§ 63.5710   How do I demonstrate compliance using emissions averaging?</w:t>
        </w:r>
      </w:hyperlink>
      <w:r w:rsidRPr="00455CCD">
        <w:rPr>
          <w:sz w:val="20"/>
          <w:szCs w:val="20"/>
        </w:rPr>
        <w:br/>
      </w:r>
      <w:hyperlink r:id="rId21" w:anchor="40:13.0.1.1.1.28.360.12" w:history="1">
        <w:r w:rsidRPr="00455CCD">
          <w:rPr>
            <w:rStyle w:val="Hyperlink"/>
            <w:color w:val="auto"/>
            <w:sz w:val="20"/>
            <w:szCs w:val="20"/>
          </w:rPr>
          <w:t>§ 63.5713   How do I demonstrate compliance using compliant materials?</w:t>
        </w:r>
      </w:hyperlink>
      <w:r w:rsidRPr="00455CCD">
        <w:rPr>
          <w:sz w:val="20"/>
          <w:szCs w:val="20"/>
        </w:rPr>
        <w:br/>
      </w:r>
      <w:hyperlink r:id="rId22" w:anchor="40:13.0.1.1.1.28.360.13" w:history="1">
        <w:r w:rsidRPr="00455CCD">
          <w:rPr>
            <w:rStyle w:val="Hyperlink"/>
            <w:color w:val="auto"/>
            <w:sz w:val="20"/>
            <w:szCs w:val="20"/>
          </w:rPr>
          <w:t>§ 63.5714   How do I demonstrate compliance if I use filled resins?</w:t>
        </w:r>
      </w:hyperlink>
    </w:p>
    <w:p w:rsidR="002039ED" w:rsidRPr="00455CCD" w:rsidRDefault="002039ED" w:rsidP="001E664D">
      <w:pPr>
        <w:pStyle w:val="contentsg"/>
        <w:spacing w:before="0"/>
      </w:pPr>
      <w:hyperlink r:id="rId23" w:anchor="40:13.0.1.1.1.28.361" w:history="1">
        <w:r w:rsidRPr="00455CCD">
          <w:rPr>
            <w:rStyle w:val="Hyperlink"/>
            <w:color w:val="auto"/>
          </w:rPr>
          <w:t>Demonstrating Compliance for Open Molding Operations Controlled by Add-On Control Devices</w:t>
        </w:r>
      </w:hyperlink>
    </w:p>
    <w:p w:rsidR="002039ED" w:rsidRPr="00455CCD" w:rsidRDefault="002039ED" w:rsidP="001E664D">
      <w:pPr>
        <w:rPr>
          <w:sz w:val="20"/>
          <w:szCs w:val="20"/>
        </w:rPr>
      </w:pPr>
      <w:hyperlink r:id="rId24" w:anchor="40:13.0.1.1.1.28.361.14" w:history="1">
        <w:r w:rsidRPr="00455CCD">
          <w:rPr>
            <w:rStyle w:val="Hyperlink"/>
            <w:color w:val="auto"/>
            <w:sz w:val="20"/>
            <w:szCs w:val="20"/>
          </w:rPr>
          <w:t>§ 63.5715   What operating limits must I meet?</w:t>
        </w:r>
      </w:hyperlink>
      <w:r w:rsidRPr="00455CCD">
        <w:rPr>
          <w:sz w:val="20"/>
          <w:szCs w:val="20"/>
        </w:rPr>
        <w:br/>
      </w:r>
      <w:hyperlink r:id="rId25" w:anchor="40:13.0.1.1.1.28.361.15" w:history="1">
        <w:r w:rsidRPr="00455CCD">
          <w:rPr>
            <w:rStyle w:val="Hyperlink"/>
            <w:color w:val="auto"/>
            <w:sz w:val="20"/>
            <w:szCs w:val="20"/>
          </w:rPr>
          <w:t>§ 63.5716   When must I conduct a performance test?</w:t>
        </w:r>
      </w:hyperlink>
      <w:r w:rsidRPr="00455CCD">
        <w:rPr>
          <w:sz w:val="20"/>
          <w:szCs w:val="20"/>
        </w:rPr>
        <w:br/>
      </w:r>
      <w:hyperlink r:id="rId26" w:anchor="40:13.0.1.1.1.28.361.16" w:history="1">
        <w:r w:rsidRPr="00455CCD">
          <w:rPr>
            <w:rStyle w:val="Hyperlink"/>
            <w:color w:val="auto"/>
            <w:sz w:val="20"/>
            <w:szCs w:val="20"/>
          </w:rPr>
          <w:t>§ 63.5719   How do I conduct a performance test?</w:t>
        </w:r>
      </w:hyperlink>
      <w:r w:rsidRPr="00455CCD">
        <w:rPr>
          <w:sz w:val="20"/>
          <w:szCs w:val="20"/>
        </w:rPr>
        <w:br/>
      </w:r>
      <w:hyperlink r:id="rId27" w:anchor="40:13.0.1.1.1.28.361.17" w:history="1">
        <w:r w:rsidRPr="00455CCD">
          <w:rPr>
            <w:rStyle w:val="Hyperlink"/>
            <w:color w:val="auto"/>
            <w:sz w:val="20"/>
            <w:szCs w:val="20"/>
          </w:rPr>
          <w:t>§ 63.5722   How do I use the performance test data to demonstrate initial compliance?</w:t>
        </w:r>
      </w:hyperlink>
      <w:r w:rsidRPr="00455CCD">
        <w:rPr>
          <w:sz w:val="20"/>
          <w:szCs w:val="20"/>
        </w:rPr>
        <w:br/>
      </w:r>
      <w:hyperlink r:id="rId28" w:anchor="40:13.0.1.1.1.28.361.18" w:history="1">
        <w:r w:rsidRPr="00455CCD">
          <w:rPr>
            <w:rStyle w:val="Hyperlink"/>
            <w:color w:val="auto"/>
            <w:sz w:val="20"/>
            <w:szCs w:val="20"/>
          </w:rPr>
          <w:t>§ 63.5725   What are the requirements for monitoring and demonstrating continuous compliance?</w:t>
        </w:r>
      </w:hyperlink>
    </w:p>
    <w:p w:rsidR="002039ED" w:rsidRPr="00455CCD" w:rsidRDefault="002039ED" w:rsidP="001E664D">
      <w:pPr>
        <w:pStyle w:val="contentsg"/>
        <w:spacing w:before="0"/>
      </w:pPr>
      <w:hyperlink r:id="rId29" w:anchor="40:13.0.1.1.1.28.362" w:history="1">
        <w:r w:rsidRPr="00455CCD">
          <w:rPr>
            <w:rStyle w:val="Hyperlink"/>
            <w:color w:val="auto"/>
          </w:rPr>
          <w:t>Standards for Closed Molding Resin Operations</w:t>
        </w:r>
      </w:hyperlink>
    </w:p>
    <w:p w:rsidR="002039ED" w:rsidRPr="00455CCD" w:rsidRDefault="002039ED" w:rsidP="001E664D">
      <w:pPr>
        <w:rPr>
          <w:sz w:val="20"/>
          <w:szCs w:val="20"/>
        </w:rPr>
      </w:pPr>
      <w:hyperlink r:id="rId30" w:anchor="40:13.0.1.1.1.28.362.19" w:history="1">
        <w:r w:rsidRPr="00455CCD">
          <w:rPr>
            <w:rStyle w:val="Hyperlink"/>
            <w:color w:val="auto"/>
            <w:sz w:val="20"/>
            <w:szCs w:val="20"/>
          </w:rPr>
          <w:t>§ 63.5728   What standards must I meet for closed molding resin operations?</w:t>
        </w:r>
      </w:hyperlink>
    </w:p>
    <w:p w:rsidR="002039ED" w:rsidRPr="00455CCD" w:rsidRDefault="002039ED" w:rsidP="001E664D">
      <w:pPr>
        <w:pStyle w:val="contentsg"/>
        <w:spacing w:before="0"/>
      </w:pPr>
      <w:hyperlink r:id="rId31" w:anchor="40:13.0.1.1.1.28.363" w:history="1">
        <w:r w:rsidRPr="00455CCD">
          <w:rPr>
            <w:rStyle w:val="Hyperlink"/>
            <w:color w:val="auto"/>
          </w:rPr>
          <w:t>Standards for Resin and Gel Coat Mixing Operations</w:t>
        </w:r>
      </w:hyperlink>
    </w:p>
    <w:p w:rsidR="002039ED" w:rsidRPr="00455CCD" w:rsidRDefault="002039ED" w:rsidP="001E664D">
      <w:pPr>
        <w:rPr>
          <w:sz w:val="20"/>
          <w:szCs w:val="20"/>
        </w:rPr>
      </w:pPr>
      <w:hyperlink r:id="rId32" w:anchor="40:13.0.1.1.1.28.363.20" w:history="1">
        <w:r w:rsidRPr="00455CCD">
          <w:rPr>
            <w:rStyle w:val="Hyperlink"/>
            <w:color w:val="auto"/>
            <w:sz w:val="20"/>
            <w:szCs w:val="20"/>
          </w:rPr>
          <w:t>§ 63.5731   What standards must I meet for resin and gel coat mixing operations?</w:t>
        </w:r>
      </w:hyperlink>
    </w:p>
    <w:p w:rsidR="002039ED" w:rsidRPr="00455CCD" w:rsidRDefault="002039ED" w:rsidP="001E664D">
      <w:pPr>
        <w:pStyle w:val="contentsg"/>
        <w:spacing w:before="0"/>
      </w:pPr>
      <w:hyperlink r:id="rId33" w:anchor="40:13.0.1.1.1.28.364" w:history="1">
        <w:r w:rsidRPr="00455CCD">
          <w:rPr>
            <w:rStyle w:val="Hyperlink"/>
            <w:color w:val="auto"/>
          </w:rPr>
          <w:t>Standards for Resin and Gel Coat Application Equipment Cleaning Operations</w:t>
        </w:r>
      </w:hyperlink>
    </w:p>
    <w:p w:rsidR="002039ED" w:rsidRPr="00455CCD" w:rsidRDefault="002039ED" w:rsidP="001E664D">
      <w:pPr>
        <w:rPr>
          <w:sz w:val="20"/>
          <w:szCs w:val="20"/>
        </w:rPr>
      </w:pPr>
      <w:hyperlink r:id="rId34" w:anchor="40:13.0.1.1.1.28.364.21" w:history="1">
        <w:r w:rsidRPr="00455CCD">
          <w:rPr>
            <w:rStyle w:val="Hyperlink"/>
            <w:color w:val="auto"/>
            <w:sz w:val="20"/>
            <w:szCs w:val="20"/>
          </w:rPr>
          <w:t>§ 63.5734   What standards must I meet for resin and gel coat application equipment cleaning operations?</w:t>
        </w:r>
      </w:hyperlink>
      <w:r w:rsidRPr="00455CCD">
        <w:rPr>
          <w:sz w:val="20"/>
          <w:szCs w:val="20"/>
        </w:rPr>
        <w:br/>
      </w:r>
      <w:hyperlink r:id="rId35" w:anchor="40:13.0.1.1.1.28.364.22" w:history="1">
        <w:r w:rsidRPr="00455CCD">
          <w:rPr>
            <w:rStyle w:val="Hyperlink"/>
            <w:color w:val="auto"/>
            <w:sz w:val="20"/>
            <w:szCs w:val="20"/>
          </w:rPr>
          <w:t>§ 63.5737   How do I demonstrate compliance with the resin and gel coat application equipment cleaning standards?</w:t>
        </w:r>
      </w:hyperlink>
    </w:p>
    <w:p w:rsidR="002039ED" w:rsidRPr="00455CCD" w:rsidRDefault="002039ED" w:rsidP="001E664D">
      <w:pPr>
        <w:pStyle w:val="contentsg"/>
        <w:spacing w:before="0"/>
      </w:pPr>
      <w:hyperlink r:id="rId36" w:anchor="40:13.0.1.1.1.28.365" w:history="1">
        <w:r w:rsidRPr="00455CCD">
          <w:rPr>
            <w:rStyle w:val="Hyperlink"/>
            <w:color w:val="auto"/>
          </w:rPr>
          <w:t>Standards for Carpet and Fabric Adhesive Operations</w:t>
        </w:r>
      </w:hyperlink>
    </w:p>
    <w:p w:rsidR="002039ED" w:rsidRPr="00455CCD" w:rsidRDefault="002039ED" w:rsidP="001E664D">
      <w:pPr>
        <w:rPr>
          <w:sz w:val="20"/>
          <w:szCs w:val="20"/>
        </w:rPr>
      </w:pPr>
      <w:hyperlink r:id="rId37" w:anchor="40:13.0.1.1.1.28.365.23" w:history="1">
        <w:r w:rsidRPr="00455CCD">
          <w:rPr>
            <w:rStyle w:val="Hyperlink"/>
            <w:color w:val="auto"/>
            <w:sz w:val="20"/>
            <w:szCs w:val="20"/>
          </w:rPr>
          <w:t>§ 63.5740   What emission limit must I meet for carpet and fabric adhesive operations?</w:t>
        </w:r>
      </w:hyperlink>
    </w:p>
    <w:p w:rsidR="002039ED" w:rsidRPr="00455CCD" w:rsidRDefault="002039ED" w:rsidP="001E664D">
      <w:pPr>
        <w:pStyle w:val="contentsg"/>
        <w:spacing w:before="0"/>
      </w:pPr>
      <w:hyperlink r:id="rId38" w:anchor="40:13.0.1.1.1.28.366" w:history="1">
        <w:r w:rsidRPr="00455CCD">
          <w:rPr>
            <w:rStyle w:val="Hyperlink"/>
            <w:color w:val="auto"/>
          </w:rPr>
          <w:t>Standards for Aluminum Recreational Boat Surface Coating Operations</w:t>
        </w:r>
      </w:hyperlink>
    </w:p>
    <w:p w:rsidR="002039ED" w:rsidRPr="00455CCD" w:rsidRDefault="002039ED" w:rsidP="001E664D">
      <w:pPr>
        <w:rPr>
          <w:sz w:val="20"/>
          <w:szCs w:val="20"/>
        </w:rPr>
      </w:pPr>
      <w:hyperlink r:id="rId39" w:anchor="40:13.0.1.1.1.28.366.24" w:history="1">
        <w:r w:rsidRPr="00455CCD">
          <w:rPr>
            <w:rStyle w:val="Hyperlink"/>
            <w:color w:val="auto"/>
            <w:sz w:val="20"/>
            <w:szCs w:val="20"/>
          </w:rPr>
          <w:t>§ 63.5743   What standards must I meet for aluminum recreational boat surface coating operations?</w:t>
        </w:r>
      </w:hyperlink>
      <w:r w:rsidRPr="00455CCD">
        <w:rPr>
          <w:sz w:val="20"/>
          <w:szCs w:val="20"/>
        </w:rPr>
        <w:br/>
      </w:r>
      <w:hyperlink r:id="rId40" w:anchor="40:13.0.1.1.1.28.366.25" w:history="1">
        <w:r w:rsidRPr="00455CCD">
          <w:rPr>
            <w:rStyle w:val="Hyperlink"/>
            <w:color w:val="auto"/>
            <w:sz w:val="20"/>
            <w:szCs w:val="20"/>
          </w:rPr>
          <w:t>§ 63.5746   How do I demonstrate compliance with the emission limits for aluminum wipedown solvents and aluminum coatings?</w:t>
        </w:r>
      </w:hyperlink>
      <w:r w:rsidRPr="00455CCD">
        <w:rPr>
          <w:sz w:val="20"/>
          <w:szCs w:val="20"/>
        </w:rPr>
        <w:br/>
      </w:r>
      <w:hyperlink r:id="rId41" w:anchor="40:13.0.1.1.1.28.366.26" w:history="1">
        <w:r w:rsidRPr="00455CCD">
          <w:rPr>
            <w:rStyle w:val="Hyperlink"/>
            <w:color w:val="auto"/>
            <w:sz w:val="20"/>
            <w:szCs w:val="20"/>
          </w:rPr>
          <w:t>§ 63.5749   How do I calculate the organic HAP content of aluminum wipedown solvents?</w:t>
        </w:r>
      </w:hyperlink>
      <w:r w:rsidRPr="00455CCD">
        <w:rPr>
          <w:sz w:val="20"/>
          <w:szCs w:val="20"/>
        </w:rPr>
        <w:br/>
      </w:r>
      <w:hyperlink r:id="rId42" w:anchor="40:13.0.1.1.1.28.366.27" w:history="1">
        <w:r w:rsidRPr="00455CCD">
          <w:rPr>
            <w:rStyle w:val="Hyperlink"/>
            <w:color w:val="auto"/>
            <w:sz w:val="20"/>
            <w:szCs w:val="20"/>
          </w:rPr>
          <w:t>§ 63.5752   How do I calculate the organic HAP content of aluminum recreational boat surface coatings?</w:t>
        </w:r>
      </w:hyperlink>
      <w:r w:rsidRPr="00455CCD">
        <w:rPr>
          <w:sz w:val="20"/>
          <w:szCs w:val="20"/>
        </w:rPr>
        <w:br/>
      </w:r>
      <w:hyperlink r:id="rId43" w:anchor="40:13.0.1.1.1.28.366.28" w:history="1">
        <w:r w:rsidRPr="00455CCD">
          <w:rPr>
            <w:rStyle w:val="Hyperlink"/>
            <w:color w:val="auto"/>
            <w:sz w:val="20"/>
            <w:szCs w:val="20"/>
          </w:rPr>
          <w:t>§ 63.5753   How do I calculate the combined organic HAP content of aluminum wipedown solvents and aluminum recreational boat surface coatings?</w:t>
        </w:r>
      </w:hyperlink>
      <w:r w:rsidRPr="00455CCD">
        <w:rPr>
          <w:sz w:val="20"/>
          <w:szCs w:val="20"/>
        </w:rPr>
        <w:br/>
      </w:r>
      <w:hyperlink r:id="rId44" w:anchor="40:13.0.1.1.1.28.366.29" w:history="1">
        <w:r w:rsidRPr="00455CCD">
          <w:rPr>
            <w:rStyle w:val="Hyperlink"/>
            <w:color w:val="auto"/>
            <w:sz w:val="20"/>
            <w:szCs w:val="20"/>
          </w:rPr>
          <w:t>§ 63.5755   How do I demonstrate compliance with the aluminum recreational boat surface coating spray gun cleaning work practice standards?</w:t>
        </w:r>
      </w:hyperlink>
    </w:p>
    <w:p w:rsidR="002039ED" w:rsidRPr="00455CCD" w:rsidRDefault="002039ED" w:rsidP="001E664D">
      <w:pPr>
        <w:pStyle w:val="contentsg"/>
        <w:spacing w:before="0"/>
      </w:pPr>
      <w:hyperlink r:id="rId45" w:anchor="40:13.0.1.1.1.28.367" w:history="1">
        <w:r w:rsidRPr="00455CCD">
          <w:rPr>
            <w:rStyle w:val="Hyperlink"/>
            <w:color w:val="auto"/>
          </w:rPr>
          <w:t>Methods for Determining Hazardous Air Pollutant Content</w:t>
        </w:r>
      </w:hyperlink>
    </w:p>
    <w:p w:rsidR="002039ED" w:rsidRPr="00455CCD" w:rsidRDefault="002039ED" w:rsidP="001E664D">
      <w:pPr>
        <w:rPr>
          <w:sz w:val="20"/>
          <w:szCs w:val="20"/>
        </w:rPr>
      </w:pPr>
      <w:hyperlink r:id="rId46" w:anchor="40:13.0.1.1.1.28.367.30" w:history="1">
        <w:r w:rsidRPr="00455CCD">
          <w:rPr>
            <w:rStyle w:val="Hyperlink"/>
            <w:color w:val="auto"/>
            <w:sz w:val="20"/>
            <w:szCs w:val="20"/>
          </w:rPr>
          <w:t>§ 63.5758   How do I determine the organic HAP content of materials?</w:t>
        </w:r>
      </w:hyperlink>
    </w:p>
    <w:p w:rsidR="002039ED" w:rsidRPr="00455CCD" w:rsidRDefault="002039ED" w:rsidP="001E664D">
      <w:pPr>
        <w:pStyle w:val="contentsg"/>
        <w:spacing w:before="0"/>
      </w:pPr>
      <w:hyperlink r:id="rId47" w:anchor="40:13.0.1.1.1.28.368" w:history="1">
        <w:r w:rsidRPr="00455CCD">
          <w:rPr>
            <w:rStyle w:val="Hyperlink"/>
            <w:color w:val="auto"/>
          </w:rPr>
          <w:t>Notifications, Reports, and Records</w:t>
        </w:r>
      </w:hyperlink>
    </w:p>
    <w:p w:rsidR="002039ED" w:rsidRPr="00455CCD" w:rsidRDefault="002039ED" w:rsidP="001E664D">
      <w:pPr>
        <w:rPr>
          <w:sz w:val="20"/>
          <w:szCs w:val="20"/>
        </w:rPr>
      </w:pPr>
      <w:hyperlink r:id="rId48" w:anchor="40:13.0.1.1.1.28.368.31" w:history="1">
        <w:r w:rsidRPr="00455CCD">
          <w:rPr>
            <w:rStyle w:val="Hyperlink"/>
            <w:color w:val="auto"/>
            <w:sz w:val="20"/>
            <w:szCs w:val="20"/>
          </w:rPr>
          <w:t>§ 63.5761   What notifications must I submit and when?</w:t>
        </w:r>
      </w:hyperlink>
      <w:r w:rsidRPr="00455CCD">
        <w:rPr>
          <w:sz w:val="20"/>
          <w:szCs w:val="20"/>
        </w:rPr>
        <w:br/>
      </w:r>
      <w:hyperlink r:id="rId49" w:anchor="40:13.0.1.1.1.28.368.32" w:history="1">
        <w:r w:rsidRPr="00455CCD">
          <w:rPr>
            <w:rStyle w:val="Hyperlink"/>
            <w:color w:val="auto"/>
            <w:sz w:val="20"/>
            <w:szCs w:val="20"/>
          </w:rPr>
          <w:t>§ 63.5764   What reports must I submit and when?</w:t>
        </w:r>
      </w:hyperlink>
      <w:r w:rsidRPr="00455CCD">
        <w:rPr>
          <w:sz w:val="20"/>
          <w:szCs w:val="20"/>
        </w:rPr>
        <w:br/>
      </w:r>
      <w:hyperlink r:id="rId50" w:anchor="40:13.0.1.1.1.28.368.33" w:history="1">
        <w:r w:rsidRPr="00455CCD">
          <w:rPr>
            <w:rStyle w:val="Hyperlink"/>
            <w:color w:val="auto"/>
            <w:sz w:val="20"/>
            <w:szCs w:val="20"/>
          </w:rPr>
          <w:t>§ 63.5767   What records must I keep?</w:t>
        </w:r>
      </w:hyperlink>
      <w:r w:rsidRPr="00455CCD">
        <w:rPr>
          <w:sz w:val="20"/>
          <w:szCs w:val="20"/>
        </w:rPr>
        <w:br/>
      </w:r>
      <w:hyperlink r:id="rId51" w:anchor="40:13.0.1.1.1.28.368.34" w:history="1">
        <w:r w:rsidRPr="00455CCD">
          <w:rPr>
            <w:rStyle w:val="Hyperlink"/>
            <w:color w:val="auto"/>
            <w:sz w:val="20"/>
            <w:szCs w:val="20"/>
          </w:rPr>
          <w:t>§ 63.5770   In what form and for how long must I keep my records?</w:t>
        </w:r>
      </w:hyperlink>
    </w:p>
    <w:p w:rsidR="002039ED" w:rsidRPr="00455CCD" w:rsidRDefault="002039ED" w:rsidP="001E664D">
      <w:pPr>
        <w:pStyle w:val="contentsg"/>
        <w:spacing w:before="0"/>
      </w:pPr>
      <w:hyperlink r:id="rId52" w:anchor="40:13.0.1.1.1.28.369" w:history="1">
        <w:r w:rsidRPr="00455CCD">
          <w:rPr>
            <w:rStyle w:val="Hyperlink"/>
            <w:color w:val="auto"/>
          </w:rPr>
          <w:t>Other Information You Need To Know</w:t>
        </w:r>
      </w:hyperlink>
    </w:p>
    <w:p w:rsidR="002039ED" w:rsidRPr="00455CCD" w:rsidRDefault="002039ED" w:rsidP="001E664D">
      <w:pPr>
        <w:rPr>
          <w:sz w:val="20"/>
          <w:szCs w:val="20"/>
        </w:rPr>
      </w:pPr>
      <w:hyperlink r:id="rId53" w:anchor="40:13.0.1.1.1.28.369.35" w:history="1">
        <w:r w:rsidRPr="00455CCD">
          <w:rPr>
            <w:rStyle w:val="Hyperlink"/>
            <w:color w:val="auto"/>
            <w:sz w:val="20"/>
            <w:szCs w:val="20"/>
          </w:rPr>
          <w:t>§ 63.5773   What parts of the General Provisions apply to me?</w:t>
        </w:r>
      </w:hyperlink>
      <w:r w:rsidRPr="00455CCD">
        <w:rPr>
          <w:sz w:val="20"/>
          <w:szCs w:val="20"/>
        </w:rPr>
        <w:br/>
      </w:r>
      <w:hyperlink r:id="rId54" w:anchor="40:13.0.1.1.1.28.369.36" w:history="1">
        <w:r w:rsidRPr="00455CCD">
          <w:rPr>
            <w:rStyle w:val="Hyperlink"/>
            <w:color w:val="auto"/>
            <w:sz w:val="20"/>
            <w:szCs w:val="20"/>
          </w:rPr>
          <w:t>§ 63.5776   Who implements and enforces this subpart?</w:t>
        </w:r>
      </w:hyperlink>
    </w:p>
    <w:p w:rsidR="002039ED" w:rsidRPr="00455CCD" w:rsidRDefault="002039ED" w:rsidP="001E664D">
      <w:pPr>
        <w:pStyle w:val="contentsg"/>
        <w:spacing w:before="0"/>
      </w:pPr>
      <w:hyperlink r:id="rId55" w:anchor="40:13.0.1.1.1.28.370" w:history="1">
        <w:r w:rsidRPr="00455CCD">
          <w:rPr>
            <w:rStyle w:val="Hyperlink"/>
            <w:color w:val="auto"/>
          </w:rPr>
          <w:t>Definitions</w:t>
        </w:r>
      </w:hyperlink>
    </w:p>
    <w:p w:rsidR="002039ED" w:rsidRPr="00455CCD" w:rsidRDefault="002039ED" w:rsidP="001E664D">
      <w:pPr>
        <w:rPr>
          <w:sz w:val="20"/>
          <w:szCs w:val="20"/>
        </w:rPr>
      </w:pPr>
      <w:hyperlink r:id="rId56" w:anchor="40:13.0.1.1.1.28.370.37" w:history="1">
        <w:r w:rsidRPr="00455CCD">
          <w:rPr>
            <w:rStyle w:val="Hyperlink"/>
            <w:color w:val="auto"/>
            <w:sz w:val="20"/>
            <w:szCs w:val="20"/>
          </w:rPr>
          <w:t>§ 63.5779   What definitions apply to this subpart?</w:t>
        </w:r>
      </w:hyperlink>
      <w:r w:rsidRPr="00455CCD">
        <w:rPr>
          <w:sz w:val="20"/>
          <w:szCs w:val="20"/>
        </w:rPr>
        <w:br/>
      </w:r>
      <w:hyperlink r:id="rId57" w:anchor="40:13.0.1.1.1.28.371.38.159" w:history="1">
        <w:r w:rsidRPr="00455CCD">
          <w:rPr>
            <w:rStyle w:val="Hyperlink"/>
            <w:color w:val="auto"/>
            <w:sz w:val="20"/>
            <w:szCs w:val="20"/>
          </w:rPr>
          <w:t>Table 1 to Subpart VVVV of Part 63—Compliance Dates for New and Existing Boat Manufacturing Facilities</w:t>
        </w:r>
      </w:hyperlink>
      <w:r w:rsidRPr="00455CCD">
        <w:rPr>
          <w:sz w:val="20"/>
          <w:szCs w:val="20"/>
        </w:rPr>
        <w:br/>
      </w:r>
      <w:hyperlink r:id="rId58" w:anchor="40:13.0.1.1.1.28.371.38.160" w:history="1">
        <w:r w:rsidRPr="00455CCD">
          <w:rPr>
            <w:rStyle w:val="Hyperlink"/>
            <w:color w:val="auto"/>
            <w:sz w:val="20"/>
            <w:szCs w:val="20"/>
          </w:rPr>
          <w:t>Table 2 to Subpart VVVV of Part 63—Alternative Organic HAP Content Requirements for Open Molding Resin and Gel Coat Operations</w:t>
        </w:r>
      </w:hyperlink>
      <w:r w:rsidRPr="00455CCD">
        <w:rPr>
          <w:sz w:val="20"/>
          <w:szCs w:val="20"/>
        </w:rPr>
        <w:br/>
      </w:r>
      <w:hyperlink r:id="rId59" w:anchor="40:13.0.1.1.1.28.371.38.161" w:history="1">
        <w:r w:rsidRPr="00455CCD">
          <w:rPr>
            <w:rStyle w:val="Hyperlink"/>
            <w:color w:val="auto"/>
            <w:sz w:val="20"/>
            <w:szCs w:val="20"/>
          </w:rPr>
          <w:t>Table 3 to Subpart VVVV of Part 63—MACT Model Point Value Formulas for Open Molding Operations </w:t>
        </w:r>
        <w:r w:rsidRPr="00455CCD">
          <w:rPr>
            <w:rStyle w:val="Hyperlink"/>
            <w:color w:val="auto"/>
            <w:sz w:val="20"/>
            <w:szCs w:val="20"/>
            <w:vertAlign w:val="superscript"/>
          </w:rPr>
          <w:t>1</w:t>
        </w:r>
        <w:r w:rsidRPr="00455CCD">
          <w:rPr>
            <w:rStyle w:val="Hyperlink"/>
            <w:color w:val="auto"/>
            <w:sz w:val="20"/>
            <w:szCs w:val="20"/>
          </w:rPr>
          <w:t xml:space="preserve"> </w:t>
        </w:r>
      </w:hyperlink>
      <w:r w:rsidRPr="00455CCD">
        <w:rPr>
          <w:sz w:val="20"/>
          <w:szCs w:val="20"/>
        </w:rPr>
        <w:br/>
      </w:r>
      <w:hyperlink r:id="rId60" w:anchor="40:13.0.1.1.1.28.371.38.162" w:history="1">
        <w:r w:rsidRPr="00455CCD">
          <w:rPr>
            <w:rStyle w:val="Hyperlink"/>
            <w:color w:val="auto"/>
            <w:sz w:val="20"/>
            <w:szCs w:val="20"/>
          </w:rPr>
          <w:t>Table 4 to Subpart VVVV of Part 63—Operating Limits if Using an Add-on Control Device for Open Molding Operations</w:t>
        </w:r>
      </w:hyperlink>
      <w:r w:rsidRPr="00455CCD">
        <w:rPr>
          <w:sz w:val="20"/>
          <w:szCs w:val="20"/>
        </w:rPr>
        <w:br/>
      </w:r>
      <w:hyperlink r:id="rId61" w:anchor="40:13.0.1.1.1.28.371.38.163" w:history="1">
        <w:r w:rsidRPr="00455CCD">
          <w:rPr>
            <w:rStyle w:val="Hyperlink"/>
            <w:color w:val="auto"/>
            <w:sz w:val="20"/>
            <w:szCs w:val="20"/>
          </w:rPr>
          <w:t>Table 5 to Subpart VVVV of Part 63—Default Organic HAP Contents of Solvents and Solvent Blends</w:t>
        </w:r>
      </w:hyperlink>
      <w:r w:rsidRPr="00455CCD">
        <w:rPr>
          <w:sz w:val="20"/>
          <w:szCs w:val="20"/>
        </w:rPr>
        <w:br/>
      </w:r>
      <w:hyperlink r:id="rId62" w:anchor="40:13.0.1.1.1.28.371.38.164" w:history="1">
        <w:r w:rsidRPr="00455CCD">
          <w:rPr>
            <w:rStyle w:val="Hyperlink"/>
            <w:color w:val="auto"/>
            <w:sz w:val="20"/>
            <w:szCs w:val="20"/>
          </w:rPr>
          <w:t>Table 6 to Subpart VVVV of Part 63—Default Organic HAP Contents of Petroleum Solvent Groups</w:t>
        </w:r>
      </w:hyperlink>
      <w:r w:rsidRPr="00455CCD">
        <w:rPr>
          <w:sz w:val="20"/>
          <w:szCs w:val="20"/>
        </w:rPr>
        <w:br/>
      </w:r>
      <w:hyperlink r:id="rId63" w:anchor="40:13.0.1.1.1.28.371.38.165" w:history="1">
        <w:r w:rsidRPr="00455CCD">
          <w:rPr>
            <w:rStyle w:val="Hyperlink"/>
            <w:color w:val="auto"/>
            <w:sz w:val="20"/>
            <w:szCs w:val="20"/>
          </w:rPr>
          <w:t>Table 7 to Subpart VVVV of Part 63—Applicability and Timing of Notifications</w:t>
        </w:r>
      </w:hyperlink>
      <w:r w:rsidRPr="00455CCD">
        <w:rPr>
          <w:sz w:val="20"/>
          <w:szCs w:val="20"/>
        </w:rPr>
        <w:br/>
      </w:r>
      <w:hyperlink r:id="rId64" w:anchor="40:13.0.1.1.1.28.371.38.166" w:history="1">
        <w:r w:rsidRPr="00455CCD">
          <w:rPr>
            <w:rStyle w:val="Hyperlink"/>
            <w:color w:val="auto"/>
            <w:sz w:val="20"/>
            <w:szCs w:val="20"/>
          </w:rPr>
          <w:t>Table 8 to Subpart VVVV of Part 63—Applicability of General Provisions (40 CFR Part 63, Subpart A) to Subpart VVVV</w:t>
        </w:r>
      </w:hyperlink>
    </w:p>
    <w:p w:rsidR="002039ED" w:rsidRPr="00455CCD" w:rsidRDefault="002039ED" w:rsidP="001E664D">
      <w:pPr>
        <w:rPr>
          <w:sz w:val="20"/>
          <w:szCs w:val="20"/>
        </w:rPr>
      </w:pPr>
      <w:r w:rsidRPr="00455CCD">
        <w:rPr>
          <w:sz w:val="20"/>
          <w:szCs w:val="20"/>
        </w:rPr>
        <w:pict>
          <v:rect id="_x0000_i1027" style="width:0;height:1.5pt" o:hrstd="t" o:hr="t" fillcolor="#aca899" stroked="f"/>
        </w:pict>
      </w:r>
    </w:p>
    <w:p w:rsidR="002039ED" w:rsidRPr="00455CCD" w:rsidRDefault="002039ED" w:rsidP="001E664D">
      <w:pPr>
        <w:pStyle w:val="source"/>
        <w:ind w:firstLine="0"/>
        <w:rPr>
          <w:sz w:val="20"/>
          <w:szCs w:val="20"/>
        </w:rPr>
      </w:pPr>
      <w:r w:rsidRPr="00455CCD">
        <w:rPr>
          <w:smallCaps/>
          <w:sz w:val="20"/>
          <w:szCs w:val="20"/>
        </w:rPr>
        <w:t>Source:</w:t>
      </w:r>
      <w:r w:rsidRPr="00455CCD">
        <w:rPr>
          <w:sz w:val="20"/>
          <w:szCs w:val="20"/>
        </w:rPr>
        <w:t xml:space="preserve"> 66 FR 44232, Aug. 22, 2001, unless otherwise noted. </w:t>
      </w:r>
    </w:p>
    <w:p w:rsidR="002039ED" w:rsidRPr="00455CCD" w:rsidRDefault="002039ED" w:rsidP="001E664D">
      <w:pPr>
        <w:pStyle w:val="Heading2"/>
        <w:rPr>
          <w:rFonts w:ascii="Times New Roman" w:hAnsi="Times New Roman" w:cs="Times New Roman"/>
          <w:color w:val="auto"/>
          <w:sz w:val="20"/>
          <w:szCs w:val="20"/>
        </w:rPr>
      </w:pPr>
      <w:bookmarkStart w:id="1" w:name="40:13.0.1.1.1.28.359"/>
      <w:bookmarkEnd w:id="1"/>
      <w:r w:rsidRPr="00455CCD">
        <w:rPr>
          <w:rFonts w:ascii="Times New Roman" w:hAnsi="Times New Roman" w:cs="Times New Roman"/>
          <w:color w:val="auto"/>
          <w:sz w:val="20"/>
          <w:szCs w:val="20"/>
        </w:rPr>
        <w:t>What the Subpart Covers</w:t>
      </w:r>
    </w:p>
    <w:p w:rsidR="002039ED" w:rsidRPr="00455CCD" w:rsidRDefault="002039ED" w:rsidP="001E664D">
      <w:pPr>
        <w:pStyle w:val="Heading2"/>
        <w:rPr>
          <w:rFonts w:ascii="Times New Roman" w:hAnsi="Times New Roman" w:cs="Times New Roman"/>
          <w:color w:val="auto"/>
          <w:sz w:val="20"/>
          <w:szCs w:val="20"/>
        </w:rPr>
      </w:pPr>
      <w:bookmarkStart w:id="2" w:name="40:13.0.1.1.1.28.359.1"/>
      <w:bookmarkEnd w:id="2"/>
      <w:r w:rsidRPr="00455CCD">
        <w:rPr>
          <w:rFonts w:ascii="Times New Roman" w:hAnsi="Times New Roman" w:cs="Times New Roman"/>
          <w:color w:val="auto"/>
          <w:sz w:val="20"/>
          <w:szCs w:val="20"/>
        </w:rPr>
        <w:t>§ 63.5680   What is the purpose of this subpart?</w:t>
      </w:r>
    </w:p>
    <w:p w:rsidR="002039ED" w:rsidRPr="00455CCD" w:rsidRDefault="002039ED" w:rsidP="001E664D">
      <w:pPr>
        <w:pStyle w:val="NormalWeb"/>
        <w:rPr>
          <w:sz w:val="20"/>
          <w:szCs w:val="20"/>
        </w:rPr>
      </w:pPr>
      <w:r w:rsidRPr="00455CCD">
        <w:rPr>
          <w:sz w:val="20"/>
          <w:szCs w:val="20"/>
        </w:rPr>
        <w:t>(a) 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rsidR="002039ED" w:rsidRPr="00455CCD" w:rsidRDefault="002039ED" w:rsidP="001E664D">
      <w:pPr>
        <w:pStyle w:val="Heading2"/>
        <w:rPr>
          <w:rFonts w:ascii="Times New Roman" w:hAnsi="Times New Roman" w:cs="Times New Roman"/>
          <w:color w:val="auto"/>
          <w:sz w:val="20"/>
          <w:szCs w:val="20"/>
        </w:rPr>
      </w:pPr>
      <w:bookmarkStart w:id="3" w:name="40:13.0.1.1.1.28.359.2"/>
      <w:bookmarkEnd w:id="3"/>
      <w:r w:rsidRPr="00455CCD">
        <w:rPr>
          <w:rFonts w:ascii="Times New Roman" w:hAnsi="Times New Roman" w:cs="Times New Roman"/>
          <w:color w:val="auto"/>
          <w:sz w:val="20"/>
          <w:szCs w:val="20"/>
        </w:rPr>
        <w:t>§ 63.5683   Does this subpart apply to me?</w:t>
      </w:r>
    </w:p>
    <w:p w:rsidR="002039ED" w:rsidRPr="00455CCD" w:rsidRDefault="002039ED" w:rsidP="001E664D">
      <w:pPr>
        <w:pStyle w:val="NormalWeb"/>
        <w:rPr>
          <w:sz w:val="20"/>
          <w:szCs w:val="20"/>
        </w:rPr>
      </w:pPr>
      <w:r w:rsidRPr="00455CCD">
        <w:rPr>
          <w:sz w:val="20"/>
          <w:szCs w:val="20"/>
        </w:rPr>
        <w:t>(a) This subpart applies to you if you meet both of the criteria listed in paragraphs (a)(1) and (2) of this section.</w:t>
      </w:r>
    </w:p>
    <w:p w:rsidR="002039ED" w:rsidRPr="00455CCD" w:rsidRDefault="002039ED" w:rsidP="001E664D">
      <w:pPr>
        <w:pStyle w:val="NormalWeb"/>
        <w:rPr>
          <w:sz w:val="20"/>
          <w:szCs w:val="20"/>
        </w:rPr>
      </w:pPr>
      <w:r w:rsidRPr="00455CCD">
        <w:rPr>
          <w:sz w:val="20"/>
          <w:szCs w:val="20"/>
        </w:rPr>
        <w:t>(1) You are the owner or operator of a boat manufacturing facility that builds fiberglass boats or aluminum recreational boats.</w:t>
      </w:r>
    </w:p>
    <w:p w:rsidR="002039ED" w:rsidRPr="00455CCD" w:rsidRDefault="002039ED" w:rsidP="001E664D">
      <w:pPr>
        <w:pStyle w:val="NormalWeb"/>
        <w:rPr>
          <w:sz w:val="20"/>
          <w:szCs w:val="20"/>
        </w:rPr>
      </w:pPr>
      <w:r w:rsidRPr="00455CCD">
        <w:rPr>
          <w:sz w:val="20"/>
          <w:szCs w:val="20"/>
        </w:rPr>
        <w:t>(2) Your boat manufacturing facility is a major source of HAP either in and of itself, or because it is collocated with other sources of HAP, such that all sources combined constitute a major source.</w:t>
      </w:r>
    </w:p>
    <w:p w:rsidR="002039ED" w:rsidRPr="00455CCD" w:rsidRDefault="002039ED" w:rsidP="001E664D">
      <w:pPr>
        <w:pStyle w:val="NormalWeb"/>
        <w:rPr>
          <w:sz w:val="20"/>
          <w:szCs w:val="20"/>
        </w:rPr>
      </w:pPr>
      <w:r w:rsidRPr="00455CCD">
        <w:rPr>
          <w:sz w:val="20"/>
          <w:szCs w:val="20"/>
        </w:rPr>
        <w:t>(b) A boat manufacturing facility is a facility that manufactures hulls or decks of boats from fiberglass or aluminum, or assembles boats from premanufactured hulls and decks, or builds molds to make fiberglass hulls or decks. A facility that manufactures only parts of boats (such as hatches, seats, or lockers) or boat trailers is not considered a boat manufacturing facility for the purpose of this subpart.</w:t>
      </w:r>
    </w:p>
    <w:p w:rsidR="002039ED" w:rsidRPr="00455CCD" w:rsidRDefault="002039ED" w:rsidP="001E664D">
      <w:pPr>
        <w:pStyle w:val="NormalWeb"/>
        <w:rPr>
          <w:sz w:val="20"/>
          <w:szCs w:val="20"/>
        </w:rPr>
      </w:pPr>
      <w:r w:rsidRPr="00455CCD">
        <w:rPr>
          <w:sz w:val="20"/>
          <w:szCs w:val="20"/>
        </w:rPr>
        <w:lastRenderedPageBreak/>
        <w:t>(c) A major source is any stationary source or group of stationary sources located within a contiguous area and under common control that emits or can potentially emit, considering controls, in the aggregate, 9.1 megagrams (10 tons) or more per year of a single HAP or 22.7 megagrams (25 tons) or more per year of a combination of HAP.</w:t>
      </w:r>
    </w:p>
    <w:p w:rsidR="002039ED" w:rsidRPr="00455CCD" w:rsidRDefault="002039ED" w:rsidP="001E664D">
      <w:pPr>
        <w:pStyle w:val="NormalWeb"/>
        <w:rPr>
          <w:sz w:val="20"/>
          <w:szCs w:val="20"/>
        </w:rPr>
      </w:pPr>
      <w:r w:rsidRPr="00455CCD">
        <w:rPr>
          <w:sz w:val="20"/>
          <w:szCs w:val="20"/>
        </w:rPr>
        <w:t>(d) This subpart does not apply to aluminum coating operations on aluminum boats intended for commercial or military (nonrecreational) use, antifoulant coatings, assembly adhesives, fiberglass hull and deck coatings, research and development activities, mold sealing and release agents, mold stripping and cleaning solvents, and wood coatings as defined in § 63.5779. This subpart does not apply to materials contained in handheld aerosol cans.</w:t>
      </w:r>
    </w:p>
    <w:p w:rsidR="002039ED" w:rsidRPr="00455CCD" w:rsidRDefault="002039ED" w:rsidP="001E664D">
      <w:pPr>
        <w:pStyle w:val="Heading2"/>
        <w:rPr>
          <w:rFonts w:ascii="Times New Roman" w:hAnsi="Times New Roman" w:cs="Times New Roman"/>
          <w:color w:val="auto"/>
          <w:sz w:val="20"/>
          <w:szCs w:val="20"/>
        </w:rPr>
      </w:pPr>
      <w:bookmarkStart w:id="4" w:name="40:13.0.1.1.1.28.359.3"/>
      <w:bookmarkEnd w:id="4"/>
      <w:r w:rsidRPr="00455CCD">
        <w:rPr>
          <w:rFonts w:ascii="Times New Roman" w:hAnsi="Times New Roman" w:cs="Times New Roman"/>
          <w:color w:val="auto"/>
          <w:sz w:val="20"/>
          <w:szCs w:val="20"/>
        </w:rPr>
        <w:t>§ 63.5686   How do I demonstrate that my facility is not a major source?</w:t>
      </w:r>
    </w:p>
    <w:p w:rsidR="002039ED" w:rsidRPr="00455CCD" w:rsidRDefault="002039ED" w:rsidP="001E664D">
      <w:pPr>
        <w:pStyle w:val="NormalWeb"/>
        <w:rPr>
          <w:sz w:val="20"/>
          <w:szCs w:val="20"/>
        </w:rPr>
      </w:pPr>
      <w:r w:rsidRPr="00455CCD">
        <w:rPr>
          <w:sz w:val="20"/>
          <w:szCs w:val="20"/>
        </w:rPr>
        <w:t>You can demonstrate that your facility is not a major source by using the procedures in either paragraph (a) or (b) of this section.</w:t>
      </w:r>
    </w:p>
    <w:p w:rsidR="002039ED" w:rsidRPr="00455CCD" w:rsidRDefault="002039ED" w:rsidP="001E664D">
      <w:pPr>
        <w:pStyle w:val="NormalWeb"/>
        <w:rPr>
          <w:sz w:val="20"/>
          <w:szCs w:val="20"/>
        </w:rPr>
      </w:pPr>
      <w:r w:rsidRPr="00455CCD">
        <w:rPr>
          <w:sz w:val="20"/>
          <w:szCs w:val="20"/>
        </w:rPr>
        <w:t xml:space="preserve">(a) </w:t>
      </w:r>
      <w:r w:rsidRPr="00455CCD">
        <w:rPr>
          <w:i/>
          <w:iCs/>
          <w:sz w:val="20"/>
          <w:szCs w:val="20"/>
        </w:rPr>
        <w:t>Emission option.</w:t>
      </w:r>
      <w:r w:rsidRPr="00455CCD">
        <w:rPr>
          <w:sz w:val="20"/>
          <w:szCs w:val="20"/>
        </w:rPr>
        <w:t xml:space="preserve"> You must demonstrate that your facility does not emit, and does not have the potential to emit as defined in § 63.2, considering federally enforceable permit limits, 9.1 megagrams (10 tons) or more per year of a single HAP or 22.7 megagrams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rsidR="002039ED" w:rsidRPr="00455CCD" w:rsidRDefault="002039ED" w:rsidP="001E664D">
      <w:pPr>
        <w:pStyle w:val="NormalWeb"/>
        <w:rPr>
          <w:sz w:val="20"/>
          <w:szCs w:val="20"/>
        </w:rPr>
      </w:pPr>
      <w:r w:rsidRPr="00455CCD">
        <w:rPr>
          <w:sz w:val="20"/>
          <w:szCs w:val="20"/>
        </w:rPr>
        <w:t xml:space="preserve">(b) </w:t>
      </w:r>
      <w:r w:rsidRPr="00455CCD">
        <w:rPr>
          <w:i/>
          <w:iCs/>
          <w:sz w:val="20"/>
          <w:szCs w:val="20"/>
        </w:rPr>
        <w:t>Material consumption option.</w:t>
      </w:r>
      <w:r w:rsidRPr="00455CCD">
        <w:rPr>
          <w:sz w:val="20"/>
          <w:szCs w:val="20"/>
        </w:rPr>
        <w:t xml:space="preserve"> This option can be used if you manufacture either fiberglass boats or aluminum recreational boats at your facility. You must meet the criteria in paragraph (b)(1), (2), or (3) of this section and comply with the requirements in paragraph (c) of this section. If you initially rely on the limits and criteria specified in paragraph (b)(1),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 63.5695. Nothing in this paragraph is intended to preclude you from limiting your facility's potential to emit through other federally enforceable mechanisms available through your permitting authority.</w:t>
      </w:r>
    </w:p>
    <w:p w:rsidR="002039ED" w:rsidRPr="00455CCD" w:rsidRDefault="002039ED" w:rsidP="001E664D">
      <w:pPr>
        <w:pStyle w:val="NormalWeb"/>
        <w:rPr>
          <w:sz w:val="20"/>
          <w:szCs w:val="20"/>
        </w:rPr>
      </w:pPr>
      <w:r w:rsidRPr="00455CCD">
        <w:rPr>
          <w:sz w:val="20"/>
          <w:szCs w:val="20"/>
        </w:rPr>
        <w:t>(1) If your facility is primarily a fiberglass boat manufacturing facility, you must demonstrate that you consume less than 45.4 megagrams per rolling 12-month period of all combined polyester-and vinylester-based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rsidR="002039ED" w:rsidRPr="00455CCD" w:rsidRDefault="002039ED" w:rsidP="001E664D">
      <w:pPr>
        <w:pStyle w:val="NormalWeb"/>
        <w:rPr>
          <w:sz w:val="20"/>
          <w:szCs w:val="20"/>
        </w:rPr>
      </w:pPr>
      <w:r w:rsidRPr="00455CCD">
        <w:rPr>
          <w:sz w:val="20"/>
          <w:szCs w:val="20"/>
        </w:rPr>
        <w:t>(2) If your facility is primarily an aluminum recreational boat manufacturing facility, you must demonstrate that it consumes less than 18.2 megagrams per rolling 12-month period of all combined surface coatings, aluminum wipedown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rsidR="002039ED" w:rsidRPr="00455CCD" w:rsidRDefault="002039ED" w:rsidP="001E664D">
      <w:pPr>
        <w:pStyle w:val="NormalWeb"/>
        <w:rPr>
          <w:sz w:val="20"/>
          <w:szCs w:val="20"/>
        </w:rPr>
      </w:pPr>
      <w:r w:rsidRPr="00455CCD">
        <w:rPr>
          <w:sz w:val="20"/>
          <w:szCs w:val="20"/>
        </w:rPr>
        <w:t>(3) If your facility is a fiberglass boat or an aluminum recreational boat manufacturing facility, you must demonstrate that the boat manufacturing materials consumed per rolling 12-month period contain a total of less than 4.6 megagrams of any single HAP and less than 11.4 megagrams of all combined HAP, and you must demonstrate that at least 90 percent of total annual HAP emissions at the facility (including emissions from other source categories) originate from these boat manufacturing materials.</w:t>
      </w:r>
    </w:p>
    <w:p w:rsidR="002039ED" w:rsidRPr="00455CCD" w:rsidRDefault="002039ED" w:rsidP="001E664D">
      <w:pPr>
        <w:pStyle w:val="NormalWeb"/>
        <w:rPr>
          <w:sz w:val="20"/>
          <w:szCs w:val="20"/>
        </w:rPr>
      </w:pPr>
      <w:r w:rsidRPr="00455CCD">
        <w:rPr>
          <w:sz w:val="20"/>
          <w:szCs w:val="20"/>
        </w:rPr>
        <w:t>(c) If you use the material consumption option described in paragraph (b) of this section to demonstrate that you are not a major source, you must comply with the requirements of paragraphs (c)(1) through (3) of this section.</w:t>
      </w:r>
    </w:p>
    <w:p w:rsidR="002039ED" w:rsidRPr="00455CCD" w:rsidRDefault="002039ED" w:rsidP="001E664D">
      <w:pPr>
        <w:pStyle w:val="NormalWeb"/>
        <w:rPr>
          <w:sz w:val="20"/>
          <w:szCs w:val="20"/>
        </w:rPr>
      </w:pPr>
      <w:r w:rsidRPr="00455CCD">
        <w:rPr>
          <w:sz w:val="20"/>
          <w:szCs w:val="20"/>
        </w:rPr>
        <w:t>(1) If your facility has HAP emissions that do not originate from boat manufacturing operations or materials described in paragraph (b), then you must keep any records necessary to demonstrate that the 90 percent criterion is met.</w:t>
      </w:r>
    </w:p>
    <w:p w:rsidR="002039ED" w:rsidRPr="00455CCD" w:rsidRDefault="002039ED" w:rsidP="001E664D">
      <w:pPr>
        <w:pStyle w:val="NormalWeb"/>
        <w:rPr>
          <w:sz w:val="20"/>
          <w:szCs w:val="20"/>
        </w:rPr>
      </w:pPr>
      <w:r w:rsidRPr="00455CCD">
        <w:rPr>
          <w:sz w:val="20"/>
          <w:szCs w:val="20"/>
        </w:rPr>
        <w:t xml:space="preserve">(2) A rolling 12-month period includes the previous 12 months of operation. You must maintain records of the total amount of materials described in paragraph (b) of this section used each month, and, if necessary, the HAP content of each material </w:t>
      </w:r>
      <w:r w:rsidRPr="00455CCD">
        <w:rPr>
          <w:sz w:val="20"/>
          <w:szCs w:val="20"/>
        </w:rPr>
        <w:lastRenderedPageBreak/>
        <w:t>and the calculation of the total HAP consumed each month. Because records are needed for a 12-month period, you must keep records beginning no later than 12 months before the compliance date specified in § 63.5695. Records must be kept for 5 years after they are created.</w:t>
      </w:r>
    </w:p>
    <w:p w:rsidR="002039ED" w:rsidRPr="00455CCD" w:rsidRDefault="002039ED" w:rsidP="001E664D">
      <w:pPr>
        <w:pStyle w:val="NormalWeb"/>
        <w:rPr>
          <w:sz w:val="20"/>
          <w:szCs w:val="20"/>
        </w:rPr>
      </w:pPr>
      <w:r w:rsidRPr="00455CCD">
        <w:rPr>
          <w:sz w:val="20"/>
          <w:szCs w:val="20"/>
        </w:rPr>
        <w:t>(3) 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rsidR="002039ED" w:rsidRPr="00455CCD" w:rsidRDefault="002039ED" w:rsidP="001E664D">
      <w:pPr>
        <w:pStyle w:val="Heading2"/>
        <w:rPr>
          <w:rFonts w:ascii="Times New Roman" w:hAnsi="Times New Roman" w:cs="Times New Roman"/>
          <w:color w:val="auto"/>
          <w:sz w:val="20"/>
          <w:szCs w:val="20"/>
        </w:rPr>
      </w:pPr>
      <w:bookmarkStart w:id="5" w:name="40:13.0.1.1.1.28.359.4"/>
      <w:bookmarkEnd w:id="5"/>
      <w:r w:rsidRPr="00455CCD">
        <w:rPr>
          <w:rFonts w:ascii="Times New Roman" w:hAnsi="Times New Roman" w:cs="Times New Roman"/>
          <w:color w:val="auto"/>
          <w:sz w:val="20"/>
          <w:szCs w:val="20"/>
        </w:rPr>
        <w:t>§ 63.5689   What parts of my facility are covered by this subpart?</w:t>
      </w:r>
    </w:p>
    <w:p w:rsidR="002039ED" w:rsidRPr="00455CCD" w:rsidRDefault="002039ED" w:rsidP="001E664D">
      <w:pPr>
        <w:pStyle w:val="NormalWeb"/>
        <w:rPr>
          <w:sz w:val="20"/>
          <w:szCs w:val="20"/>
        </w:rPr>
      </w:pPr>
      <w:r w:rsidRPr="00455CCD">
        <w:rPr>
          <w:sz w:val="20"/>
          <w:szCs w:val="20"/>
        </w:rPr>
        <w:t>The affected source (the portion of your boat manufacturing facility covered by this subpart) is the combination of all of the boat manufacturing operations listed in paragraphs (a) through (f) of this section.</w:t>
      </w:r>
    </w:p>
    <w:p w:rsidR="002039ED" w:rsidRPr="00455CCD" w:rsidRDefault="002039ED" w:rsidP="001E664D">
      <w:pPr>
        <w:pStyle w:val="NormalWeb"/>
        <w:rPr>
          <w:sz w:val="20"/>
          <w:szCs w:val="20"/>
        </w:rPr>
      </w:pPr>
      <w:r w:rsidRPr="00455CCD">
        <w:rPr>
          <w:sz w:val="20"/>
          <w:szCs w:val="20"/>
        </w:rPr>
        <w:t>(a) Open molding resin and gel coat operations (including pigmented gel coat, clear gel coat, production resin, tooling gel coat, and tooling resin).</w:t>
      </w:r>
    </w:p>
    <w:p w:rsidR="002039ED" w:rsidRPr="00455CCD" w:rsidRDefault="002039ED" w:rsidP="001E664D">
      <w:pPr>
        <w:pStyle w:val="NormalWeb"/>
        <w:rPr>
          <w:sz w:val="20"/>
          <w:szCs w:val="20"/>
        </w:rPr>
      </w:pPr>
      <w:r w:rsidRPr="00455CCD">
        <w:rPr>
          <w:sz w:val="20"/>
          <w:szCs w:val="20"/>
        </w:rPr>
        <w:t>(b) Closed molding resin operations.</w:t>
      </w:r>
    </w:p>
    <w:p w:rsidR="002039ED" w:rsidRPr="00455CCD" w:rsidRDefault="002039ED" w:rsidP="001E664D">
      <w:pPr>
        <w:pStyle w:val="NormalWeb"/>
        <w:rPr>
          <w:sz w:val="20"/>
          <w:szCs w:val="20"/>
        </w:rPr>
      </w:pPr>
      <w:r w:rsidRPr="00455CCD">
        <w:rPr>
          <w:sz w:val="20"/>
          <w:szCs w:val="20"/>
        </w:rPr>
        <w:t>(c) Resin and gel coat mixing operations.</w:t>
      </w:r>
    </w:p>
    <w:p w:rsidR="002039ED" w:rsidRPr="00455CCD" w:rsidRDefault="002039ED" w:rsidP="001E664D">
      <w:pPr>
        <w:pStyle w:val="NormalWeb"/>
        <w:rPr>
          <w:sz w:val="20"/>
          <w:szCs w:val="20"/>
        </w:rPr>
      </w:pPr>
      <w:r w:rsidRPr="00455CCD">
        <w:rPr>
          <w:sz w:val="20"/>
          <w:szCs w:val="20"/>
        </w:rPr>
        <w:t>(d) Resin and gel coat application equipment cleaning operations.</w:t>
      </w:r>
    </w:p>
    <w:p w:rsidR="002039ED" w:rsidRPr="00455CCD" w:rsidRDefault="002039ED" w:rsidP="001E664D">
      <w:pPr>
        <w:pStyle w:val="NormalWeb"/>
        <w:rPr>
          <w:sz w:val="20"/>
          <w:szCs w:val="20"/>
        </w:rPr>
      </w:pPr>
      <w:r w:rsidRPr="00455CCD">
        <w:rPr>
          <w:sz w:val="20"/>
          <w:szCs w:val="20"/>
        </w:rPr>
        <w:t>(e) Carpet and fabric adhesive operations.</w:t>
      </w:r>
    </w:p>
    <w:p w:rsidR="002039ED" w:rsidRPr="00455CCD" w:rsidRDefault="002039ED" w:rsidP="001E664D">
      <w:pPr>
        <w:pStyle w:val="NormalWeb"/>
        <w:rPr>
          <w:sz w:val="20"/>
          <w:szCs w:val="20"/>
        </w:rPr>
      </w:pPr>
      <w:r w:rsidRPr="00455CCD">
        <w:rPr>
          <w:sz w:val="20"/>
          <w:szCs w:val="20"/>
        </w:rPr>
        <w:t>(f) Aluminum hull and deck coating operations, including solvent wipedown operations and paint spray gun cleaning operations, on aluminum recreational boats.</w:t>
      </w:r>
    </w:p>
    <w:p w:rsidR="002039ED" w:rsidRPr="00455CCD" w:rsidRDefault="002039ED" w:rsidP="001E664D">
      <w:pPr>
        <w:pStyle w:val="Heading2"/>
        <w:rPr>
          <w:rFonts w:ascii="Times New Roman" w:hAnsi="Times New Roman" w:cs="Times New Roman"/>
          <w:color w:val="auto"/>
          <w:sz w:val="20"/>
          <w:szCs w:val="20"/>
        </w:rPr>
      </w:pPr>
      <w:bookmarkStart w:id="6" w:name="40:13.0.1.1.1.28.359.5"/>
      <w:bookmarkEnd w:id="6"/>
      <w:r w:rsidRPr="00455CCD">
        <w:rPr>
          <w:rFonts w:ascii="Times New Roman" w:hAnsi="Times New Roman" w:cs="Times New Roman"/>
          <w:color w:val="auto"/>
          <w:sz w:val="20"/>
          <w:szCs w:val="20"/>
        </w:rPr>
        <w:t>§ 63.5692   How do I know if my boat manufacturing facility is a new source or an existing source?</w:t>
      </w:r>
    </w:p>
    <w:p w:rsidR="002039ED" w:rsidRPr="00455CCD" w:rsidRDefault="002039ED" w:rsidP="001E664D">
      <w:pPr>
        <w:pStyle w:val="NormalWeb"/>
        <w:rPr>
          <w:sz w:val="20"/>
          <w:szCs w:val="20"/>
        </w:rPr>
      </w:pPr>
      <w:r w:rsidRPr="00455CCD">
        <w:rPr>
          <w:sz w:val="20"/>
          <w:szCs w:val="20"/>
        </w:rPr>
        <w:t>(a) A boat manufacturing facility is a new source if it meets the criteria in paragraphs (a)(1) through (3) of this section.</w:t>
      </w:r>
    </w:p>
    <w:p w:rsidR="002039ED" w:rsidRPr="00455CCD" w:rsidRDefault="002039ED" w:rsidP="001E664D">
      <w:pPr>
        <w:pStyle w:val="NormalWeb"/>
        <w:rPr>
          <w:sz w:val="20"/>
          <w:szCs w:val="20"/>
        </w:rPr>
      </w:pPr>
      <w:r w:rsidRPr="00455CCD">
        <w:rPr>
          <w:sz w:val="20"/>
          <w:szCs w:val="20"/>
        </w:rPr>
        <w:t>(1) You commence construction of the affected source after July 14, 2000.</w:t>
      </w:r>
    </w:p>
    <w:p w:rsidR="002039ED" w:rsidRPr="00455CCD" w:rsidRDefault="002039ED" w:rsidP="001E664D">
      <w:pPr>
        <w:pStyle w:val="NormalWeb"/>
        <w:rPr>
          <w:sz w:val="20"/>
          <w:szCs w:val="20"/>
        </w:rPr>
      </w:pPr>
      <w:r w:rsidRPr="00455CCD">
        <w:rPr>
          <w:sz w:val="20"/>
          <w:szCs w:val="20"/>
        </w:rPr>
        <w:t>(2) It is a major source.</w:t>
      </w:r>
    </w:p>
    <w:p w:rsidR="002039ED" w:rsidRPr="00455CCD" w:rsidRDefault="002039ED" w:rsidP="001E664D">
      <w:pPr>
        <w:pStyle w:val="NormalWeb"/>
        <w:rPr>
          <w:sz w:val="20"/>
          <w:szCs w:val="20"/>
        </w:rPr>
      </w:pPr>
      <w:r w:rsidRPr="00455CCD">
        <w:rPr>
          <w:sz w:val="20"/>
          <w:szCs w:val="20"/>
        </w:rPr>
        <w:t>(3) It is a completely new boat manufacturing affected source where no other boat manufacturing affected source existed prior to the construction of the new source.</w:t>
      </w:r>
    </w:p>
    <w:p w:rsidR="002039ED" w:rsidRPr="00455CCD" w:rsidRDefault="002039ED" w:rsidP="001E664D">
      <w:pPr>
        <w:pStyle w:val="NormalWeb"/>
        <w:rPr>
          <w:sz w:val="20"/>
          <w:szCs w:val="20"/>
        </w:rPr>
      </w:pPr>
      <w:r w:rsidRPr="00455CCD">
        <w:rPr>
          <w:sz w:val="20"/>
          <w:szCs w:val="20"/>
        </w:rPr>
        <w:t>(b) For the purposes of this subpart, an existing source is any source that is not a new source.</w:t>
      </w:r>
    </w:p>
    <w:p w:rsidR="002039ED" w:rsidRPr="00455CCD" w:rsidRDefault="002039ED" w:rsidP="001E664D">
      <w:pPr>
        <w:pStyle w:val="Heading2"/>
        <w:rPr>
          <w:rFonts w:ascii="Times New Roman" w:hAnsi="Times New Roman" w:cs="Times New Roman"/>
          <w:color w:val="auto"/>
          <w:sz w:val="20"/>
          <w:szCs w:val="20"/>
        </w:rPr>
      </w:pPr>
      <w:bookmarkStart w:id="7" w:name="40:13.0.1.1.1.28.359.6"/>
      <w:bookmarkEnd w:id="7"/>
      <w:r w:rsidRPr="00455CCD">
        <w:rPr>
          <w:rFonts w:ascii="Times New Roman" w:hAnsi="Times New Roman" w:cs="Times New Roman"/>
          <w:color w:val="auto"/>
          <w:sz w:val="20"/>
          <w:szCs w:val="20"/>
        </w:rPr>
        <w:t>§ 63.5695   When must I comply with this subpart?</w:t>
      </w:r>
    </w:p>
    <w:p w:rsidR="002039ED" w:rsidRPr="00455CCD" w:rsidRDefault="002039ED" w:rsidP="001E664D">
      <w:pPr>
        <w:pStyle w:val="NormalWeb"/>
        <w:rPr>
          <w:sz w:val="20"/>
          <w:szCs w:val="20"/>
        </w:rPr>
      </w:pPr>
      <w:r w:rsidRPr="00455CCD">
        <w:rPr>
          <w:sz w:val="20"/>
          <w:szCs w:val="20"/>
        </w:rPr>
        <w:t>You must comply with the standards in this subpart by the compliance dates specified in Table 1 to this subpart.</w:t>
      </w:r>
    </w:p>
    <w:p w:rsidR="002039ED" w:rsidRPr="00455CCD" w:rsidRDefault="002039ED" w:rsidP="001E664D">
      <w:pPr>
        <w:pStyle w:val="Heading2"/>
        <w:rPr>
          <w:rFonts w:ascii="Times New Roman" w:hAnsi="Times New Roman" w:cs="Times New Roman"/>
          <w:color w:val="auto"/>
          <w:sz w:val="20"/>
          <w:szCs w:val="20"/>
        </w:rPr>
      </w:pPr>
      <w:bookmarkStart w:id="8" w:name="40:13.0.1.1.1.28.360"/>
      <w:bookmarkEnd w:id="8"/>
      <w:r w:rsidRPr="00455CCD">
        <w:rPr>
          <w:rFonts w:ascii="Times New Roman" w:hAnsi="Times New Roman" w:cs="Times New Roman"/>
          <w:color w:val="auto"/>
          <w:sz w:val="20"/>
          <w:szCs w:val="20"/>
        </w:rPr>
        <w:t>Standards for Open Molding Resin and Gel Coat Operations</w:t>
      </w:r>
    </w:p>
    <w:p w:rsidR="002039ED" w:rsidRPr="00455CCD" w:rsidRDefault="002039ED" w:rsidP="001E664D">
      <w:pPr>
        <w:pStyle w:val="Heading2"/>
        <w:rPr>
          <w:rFonts w:ascii="Times New Roman" w:hAnsi="Times New Roman" w:cs="Times New Roman"/>
          <w:color w:val="auto"/>
          <w:sz w:val="20"/>
          <w:szCs w:val="20"/>
        </w:rPr>
      </w:pPr>
      <w:bookmarkStart w:id="9" w:name="40:13.0.1.1.1.28.360.7"/>
      <w:bookmarkEnd w:id="9"/>
      <w:r w:rsidRPr="00455CCD">
        <w:rPr>
          <w:rFonts w:ascii="Times New Roman" w:hAnsi="Times New Roman" w:cs="Times New Roman"/>
          <w:color w:val="auto"/>
          <w:sz w:val="20"/>
          <w:szCs w:val="20"/>
        </w:rPr>
        <w:t>§ 63.5698   What emission limit must I meet for open molding resin and gel coat operations?</w:t>
      </w:r>
    </w:p>
    <w:p w:rsidR="002039ED" w:rsidRPr="00455CCD" w:rsidRDefault="002039ED" w:rsidP="001E664D">
      <w:pPr>
        <w:pStyle w:val="NormalWeb"/>
        <w:rPr>
          <w:sz w:val="20"/>
          <w:szCs w:val="20"/>
        </w:rPr>
      </w:pPr>
      <w:r w:rsidRPr="00455CCD">
        <w:rPr>
          <w:sz w:val="20"/>
          <w:szCs w:val="20"/>
        </w:rPr>
        <w:t>(a) You must limit organic HAP emissions from the five open molding operations listed in paragraphs (a)(1) through (5) of this section to the emission limit specified in paragraph (b) of this section. Operations listed in paragraph (d) are exempt from this limit.</w:t>
      </w:r>
    </w:p>
    <w:p w:rsidR="002039ED" w:rsidRPr="00455CCD" w:rsidRDefault="002039ED" w:rsidP="001E664D">
      <w:pPr>
        <w:pStyle w:val="NormalWeb"/>
        <w:rPr>
          <w:sz w:val="20"/>
          <w:szCs w:val="20"/>
        </w:rPr>
      </w:pPr>
      <w:r w:rsidRPr="00455CCD">
        <w:rPr>
          <w:sz w:val="20"/>
          <w:szCs w:val="20"/>
        </w:rPr>
        <w:t>(1) Production resin.</w:t>
      </w:r>
    </w:p>
    <w:p w:rsidR="002039ED" w:rsidRPr="00455CCD" w:rsidRDefault="002039ED" w:rsidP="001E664D">
      <w:pPr>
        <w:pStyle w:val="NormalWeb"/>
        <w:rPr>
          <w:sz w:val="20"/>
          <w:szCs w:val="20"/>
        </w:rPr>
      </w:pPr>
      <w:r w:rsidRPr="00455CCD">
        <w:rPr>
          <w:sz w:val="20"/>
          <w:szCs w:val="20"/>
        </w:rPr>
        <w:lastRenderedPageBreak/>
        <w:t>(2) Pigmented gel coat.</w:t>
      </w:r>
    </w:p>
    <w:p w:rsidR="002039ED" w:rsidRPr="00455CCD" w:rsidRDefault="002039ED" w:rsidP="001E664D">
      <w:pPr>
        <w:pStyle w:val="NormalWeb"/>
        <w:rPr>
          <w:sz w:val="20"/>
          <w:szCs w:val="20"/>
        </w:rPr>
      </w:pPr>
      <w:r w:rsidRPr="00455CCD">
        <w:rPr>
          <w:sz w:val="20"/>
          <w:szCs w:val="20"/>
        </w:rPr>
        <w:t>(3) Clear gel coat.</w:t>
      </w:r>
    </w:p>
    <w:p w:rsidR="002039ED" w:rsidRPr="00455CCD" w:rsidRDefault="002039ED" w:rsidP="001E664D">
      <w:pPr>
        <w:pStyle w:val="NormalWeb"/>
        <w:rPr>
          <w:sz w:val="20"/>
          <w:szCs w:val="20"/>
        </w:rPr>
      </w:pPr>
      <w:r w:rsidRPr="00455CCD">
        <w:rPr>
          <w:sz w:val="20"/>
          <w:szCs w:val="20"/>
        </w:rPr>
        <w:t>(4) Tooling resin.</w:t>
      </w:r>
    </w:p>
    <w:p w:rsidR="002039ED" w:rsidRPr="00455CCD" w:rsidRDefault="002039ED" w:rsidP="001E664D">
      <w:pPr>
        <w:pStyle w:val="NormalWeb"/>
        <w:rPr>
          <w:sz w:val="20"/>
          <w:szCs w:val="20"/>
        </w:rPr>
      </w:pPr>
      <w:r w:rsidRPr="00455CCD">
        <w:rPr>
          <w:sz w:val="20"/>
          <w:szCs w:val="20"/>
        </w:rPr>
        <w:t>(5) Tooling gel coat.</w:t>
      </w:r>
    </w:p>
    <w:p w:rsidR="002039ED" w:rsidRPr="00455CCD" w:rsidRDefault="002039ED" w:rsidP="001E664D">
      <w:pPr>
        <w:pStyle w:val="NormalWeb"/>
        <w:rPr>
          <w:sz w:val="20"/>
          <w:szCs w:val="20"/>
        </w:rPr>
      </w:pPr>
      <w:r w:rsidRPr="00455CCD">
        <w:rPr>
          <w:sz w:val="20"/>
          <w:szCs w:val="20"/>
        </w:rPr>
        <w:t>(b) You must limit organic HAP emissions from open molding operations to the limit specified by equation 1 of this section, based on a 12-month rolling average.</w:t>
      </w:r>
    </w:p>
    <w:p w:rsidR="002039ED" w:rsidRPr="00455CCD" w:rsidRDefault="002039ED" w:rsidP="001E664D">
      <w:pPr>
        <w:rPr>
          <w:sz w:val="20"/>
          <w:szCs w:val="20"/>
        </w:rPr>
      </w:pPr>
      <w:r w:rsidRPr="00455CCD">
        <w:rPr>
          <w:noProof/>
          <w:sz w:val="20"/>
          <w:szCs w:val="20"/>
        </w:rPr>
        <w:drawing>
          <wp:inline distT="0" distB="0" distL="0" distR="0">
            <wp:extent cx="5238750" cy="276225"/>
            <wp:effectExtent l="19050" t="0" r="0" b="0"/>
            <wp:docPr id="13" name="Picture 13"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22au01.011.gif"/>
                    <pic:cNvPicPr>
                      <a:picLocks noChangeAspect="1" noChangeArrowheads="1"/>
                    </pic:cNvPicPr>
                  </pic:nvPicPr>
                  <pic:blipFill>
                    <a:blip r:embed="rId65" cstate="print"/>
                    <a:srcRect/>
                    <a:stretch>
                      <a:fillRect/>
                    </a:stretch>
                  </pic:blipFill>
                  <pic:spPr bwMode="auto">
                    <a:xfrm>
                      <a:off x="0" y="0"/>
                      <a:ext cx="5238750" cy="276225"/>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HAP Limit= total allowable organic HAP that can be emitted from the open molding operations, kilograms.</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R</w:t>
      </w:r>
      <w:r w:rsidRPr="00455CCD">
        <w:rPr>
          <w:sz w:val="20"/>
          <w:szCs w:val="20"/>
        </w:rPr>
        <w:t xml:space="preserve"> = mass of production resin used in the past 12 months, excluding any materials exempt under paragraph (d) of this section, megagrams.</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PG</w:t>
      </w:r>
      <w:r w:rsidRPr="00455CCD">
        <w:rPr>
          <w:sz w:val="20"/>
          <w:szCs w:val="20"/>
        </w:rPr>
        <w:t xml:space="preserve"> = mass of pigmented gel coat used in the past 12 months, excluding any materials exempt under paragraph (d) of this section, megagrams.</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CG</w:t>
      </w:r>
      <w:r w:rsidRPr="00455CCD">
        <w:rPr>
          <w:sz w:val="20"/>
          <w:szCs w:val="20"/>
        </w:rPr>
        <w:t xml:space="preserve"> = mass of clear gel coat used in the past 12 months, excluding any materials exempt under paragraph (d) of this section, megagrams.</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TR</w:t>
      </w:r>
      <w:r w:rsidRPr="00455CCD">
        <w:rPr>
          <w:sz w:val="20"/>
          <w:szCs w:val="20"/>
        </w:rPr>
        <w:t xml:space="preserve"> = mass of tooling resin used in the past 12 months, excluding any materials exempt under paragraph (d) of this section, megagrams.</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TG</w:t>
      </w:r>
      <w:r w:rsidRPr="00455CCD">
        <w:rPr>
          <w:sz w:val="20"/>
          <w:szCs w:val="20"/>
        </w:rPr>
        <w:t xml:space="preserve"> = mass of tooling gel coat used in the past 12 months, excluding any materials exempt under paragraph (d) of this section, megagrams.</w:t>
      </w:r>
    </w:p>
    <w:p w:rsidR="002039ED" w:rsidRPr="00455CCD" w:rsidRDefault="002039ED" w:rsidP="001E664D">
      <w:pPr>
        <w:pStyle w:val="NormalWeb"/>
        <w:rPr>
          <w:sz w:val="20"/>
          <w:szCs w:val="20"/>
        </w:rPr>
      </w:pPr>
      <w:r w:rsidRPr="00455CCD">
        <w:rPr>
          <w:sz w:val="20"/>
          <w:szCs w:val="20"/>
        </w:rPr>
        <w:t>(c) The open molding emission limit is the same for both new and existing sources.</w:t>
      </w:r>
    </w:p>
    <w:p w:rsidR="002039ED" w:rsidRPr="00455CCD" w:rsidRDefault="002039ED" w:rsidP="001E664D">
      <w:pPr>
        <w:pStyle w:val="NormalWeb"/>
        <w:rPr>
          <w:sz w:val="20"/>
          <w:szCs w:val="20"/>
        </w:rPr>
      </w:pPr>
      <w:r w:rsidRPr="00455CCD">
        <w:rPr>
          <w:sz w:val="20"/>
          <w:szCs w:val="20"/>
        </w:rPr>
        <w:t>(d) The materials specified in paragraphs (d)(1) through (3) of this section are exempt from the open molding emission limit specified in paragraph (b) of this section.</w:t>
      </w:r>
    </w:p>
    <w:p w:rsidR="002039ED" w:rsidRPr="00455CCD" w:rsidRDefault="002039ED" w:rsidP="001E664D">
      <w:pPr>
        <w:pStyle w:val="NormalWeb"/>
        <w:rPr>
          <w:sz w:val="20"/>
          <w:szCs w:val="20"/>
        </w:rPr>
      </w:pPr>
      <w:r w:rsidRPr="00455CCD">
        <w:rPr>
          <w:sz w:val="20"/>
          <w:szCs w:val="20"/>
        </w:rPr>
        <w:t>(1) 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nonatomizing (non-spray) resin application equipment. You must keep a record of the resins for which you are using this exemption.</w:t>
      </w:r>
    </w:p>
    <w:p w:rsidR="002039ED" w:rsidRPr="00455CCD" w:rsidRDefault="002039ED" w:rsidP="001E664D">
      <w:pPr>
        <w:pStyle w:val="NormalWeb"/>
        <w:rPr>
          <w:sz w:val="20"/>
          <w:szCs w:val="20"/>
        </w:rPr>
      </w:pPr>
      <w:r w:rsidRPr="00455CCD">
        <w:rPr>
          <w:sz w:val="20"/>
          <w:szCs w:val="20"/>
        </w:rPr>
        <w:t>(2) 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rsidR="002039ED" w:rsidRPr="00455CCD" w:rsidRDefault="002039ED" w:rsidP="001E664D">
      <w:pPr>
        <w:pStyle w:val="NormalWeb"/>
        <w:rPr>
          <w:sz w:val="20"/>
          <w:szCs w:val="20"/>
        </w:rPr>
      </w:pPr>
      <w:r w:rsidRPr="00455CCD">
        <w:rPr>
          <w:sz w:val="20"/>
          <w:szCs w:val="20"/>
        </w:rPr>
        <w:t>(3) Pure, 100 percent vinylester resin used for skin coats. This exemption does not apply to blends of vinylester and polyester resins used for skin coats. The total resin materials included in the exemption cannot exceed 5 percent by weight of all resin used at your facility on a 12-month rolling-average basis. You must keep a record of the amount of 100 percent vinylester skin coat resin used per month that is eligible for this exemption and copies of calculations showing that the exempt amount does not exceed 5 percent of all resin used.</w:t>
      </w:r>
    </w:p>
    <w:p w:rsidR="002039ED" w:rsidRPr="00455CCD" w:rsidRDefault="002039ED" w:rsidP="001E664D">
      <w:pPr>
        <w:pStyle w:val="Heading2"/>
        <w:rPr>
          <w:rFonts w:ascii="Times New Roman" w:hAnsi="Times New Roman" w:cs="Times New Roman"/>
          <w:color w:val="auto"/>
          <w:sz w:val="20"/>
          <w:szCs w:val="20"/>
        </w:rPr>
      </w:pPr>
      <w:bookmarkStart w:id="10" w:name="40:13.0.1.1.1.28.360.8"/>
      <w:bookmarkEnd w:id="10"/>
      <w:r w:rsidRPr="00455CCD">
        <w:rPr>
          <w:rFonts w:ascii="Times New Roman" w:hAnsi="Times New Roman" w:cs="Times New Roman"/>
          <w:color w:val="auto"/>
          <w:sz w:val="20"/>
          <w:szCs w:val="20"/>
        </w:rPr>
        <w:lastRenderedPageBreak/>
        <w:t>§ 63.5701   What are my options for complying with the open molding emission limit?</w:t>
      </w:r>
    </w:p>
    <w:p w:rsidR="002039ED" w:rsidRPr="00455CCD" w:rsidRDefault="002039ED" w:rsidP="001E664D">
      <w:pPr>
        <w:pStyle w:val="NormalWeb"/>
        <w:rPr>
          <w:sz w:val="20"/>
          <w:szCs w:val="20"/>
        </w:rPr>
      </w:pPr>
      <w:r w:rsidRPr="00455CCD">
        <w:rPr>
          <w:sz w:val="20"/>
          <w:szCs w:val="20"/>
        </w:rPr>
        <w:t>You must use one or more of the options listed in paragraphs (a) through (c) of this section to meet the emission limit in § 63.5698 for the resins and gel coats used in open molding operations at your facility.</w:t>
      </w:r>
    </w:p>
    <w:p w:rsidR="002039ED" w:rsidRPr="00455CCD" w:rsidRDefault="002039ED" w:rsidP="001E664D">
      <w:pPr>
        <w:pStyle w:val="NormalWeb"/>
        <w:rPr>
          <w:sz w:val="20"/>
          <w:szCs w:val="20"/>
        </w:rPr>
      </w:pPr>
      <w:r w:rsidRPr="00455CCD">
        <w:rPr>
          <w:sz w:val="20"/>
          <w:szCs w:val="20"/>
        </w:rPr>
        <w:t xml:space="preserve">(a) </w:t>
      </w:r>
      <w:r w:rsidRPr="00455CCD">
        <w:rPr>
          <w:i/>
          <w:iCs/>
          <w:sz w:val="20"/>
          <w:szCs w:val="20"/>
        </w:rPr>
        <w:t>Maximum achievable control technology (MACT) model point value averaging (emissions averaging) option.</w:t>
      </w:r>
      <w:r w:rsidRPr="00455CCD">
        <w:rPr>
          <w:sz w:val="20"/>
          <w:szCs w:val="20"/>
        </w:rPr>
        <w:t xml:space="preserve"> (1) Demonstrate that emissions from the open molding resin and gel coat operations that you average meet the emission limit in § 63.5698 using the procedures described in § 63.5710. Compliance with this option is based on a 12-month rolling average.</w:t>
      </w:r>
    </w:p>
    <w:p w:rsidR="002039ED" w:rsidRPr="00455CCD" w:rsidRDefault="002039ED" w:rsidP="001E664D">
      <w:pPr>
        <w:pStyle w:val="NormalWeb"/>
        <w:rPr>
          <w:sz w:val="20"/>
          <w:szCs w:val="20"/>
        </w:rPr>
      </w:pPr>
      <w:r w:rsidRPr="00455CCD">
        <w:rPr>
          <w:sz w:val="20"/>
          <w:szCs w:val="20"/>
        </w:rPr>
        <w:t>(2) Those operations and materials not included in the emissions average must comply with either paragraph (b) or (c) of this section.</w:t>
      </w:r>
    </w:p>
    <w:p w:rsidR="002039ED" w:rsidRPr="00455CCD" w:rsidRDefault="002039ED" w:rsidP="001E664D">
      <w:pPr>
        <w:pStyle w:val="NormalWeb"/>
        <w:rPr>
          <w:sz w:val="20"/>
          <w:szCs w:val="20"/>
        </w:rPr>
      </w:pPr>
      <w:r w:rsidRPr="00455CCD">
        <w:rPr>
          <w:sz w:val="20"/>
          <w:szCs w:val="20"/>
        </w:rPr>
        <w:t xml:space="preserve">(b) </w:t>
      </w:r>
      <w:r w:rsidRPr="00455CCD">
        <w:rPr>
          <w:i/>
          <w:iCs/>
          <w:sz w:val="20"/>
          <w:szCs w:val="20"/>
        </w:rPr>
        <w:t>Compliant materials option.</w:t>
      </w:r>
      <w:r w:rsidRPr="00455CCD">
        <w:rPr>
          <w:sz w:val="20"/>
          <w:szCs w:val="20"/>
        </w:rPr>
        <w:t xml:space="preserve"> Demonstrate compliance by using resins and gel coats that meet the organic HAP content requirements in Table 2 to this subpart. Compliance with this option is based on a 12-month rolling average.</w:t>
      </w:r>
    </w:p>
    <w:p w:rsidR="002039ED" w:rsidRPr="00455CCD" w:rsidRDefault="002039ED" w:rsidP="001E664D">
      <w:pPr>
        <w:pStyle w:val="NormalWeb"/>
        <w:rPr>
          <w:sz w:val="20"/>
          <w:szCs w:val="20"/>
        </w:rPr>
      </w:pPr>
      <w:r w:rsidRPr="00455CCD">
        <w:rPr>
          <w:sz w:val="20"/>
          <w:szCs w:val="20"/>
        </w:rPr>
        <w:t xml:space="preserve">(c) </w:t>
      </w:r>
      <w:r w:rsidRPr="00455CCD">
        <w:rPr>
          <w:i/>
          <w:iCs/>
          <w:sz w:val="20"/>
          <w:szCs w:val="20"/>
        </w:rPr>
        <w:t>Add-on control option.</w:t>
      </w:r>
      <w:r w:rsidRPr="00455CCD">
        <w:rPr>
          <w:sz w:val="20"/>
          <w:szCs w:val="20"/>
        </w:rPr>
        <w:t xml:space="preserve"> Use an enclosure and add-on control device, and demonstrate that the resulting emissions meet the emission limit in § 63.5698. Compliance with this option is based on control device performance testing and control device monitoring.</w:t>
      </w:r>
    </w:p>
    <w:p w:rsidR="002039ED" w:rsidRPr="00455CCD" w:rsidRDefault="002039ED" w:rsidP="001E664D">
      <w:pPr>
        <w:pStyle w:val="Heading2"/>
        <w:rPr>
          <w:rFonts w:ascii="Times New Roman" w:hAnsi="Times New Roman" w:cs="Times New Roman"/>
          <w:color w:val="auto"/>
          <w:sz w:val="20"/>
          <w:szCs w:val="20"/>
        </w:rPr>
      </w:pPr>
      <w:bookmarkStart w:id="11" w:name="40:13.0.1.1.1.28.360.9"/>
      <w:bookmarkEnd w:id="11"/>
      <w:r w:rsidRPr="00455CCD">
        <w:rPr>
          <w:rFonts w:ascii="Times New Roman" w:hAnsi="Times New Roman" w:cs="Times New Roman"/>
          <w:color w:val="auto"/>
          <w:sz w:val="20"/>
          <w:szCs w:val="20"/>
        </w:rPr>
        <w:t>§ 63.5704   What are the general requirements for complying with the open molding emission limit?</w:t>
      </w:r>
    </w:p>
    <w:p w:rsidR="002039ED" w:rsidRPr="00455CCD" w:rsidRDefault="002039ED" w:rsidP="001E664D">
      <w:pPr>
        <w:pStyle w:val="NormalWeb"/>
        <w:rPr>
          <w:sz w:val="20"/>
          <w:szCs w:val="20"/>
        </w:rPr>
      </w:pPr>
      <w:r w:rsidRPr="00455CCD">
        <w:rPr>
          <w:sz w:val="20"/>
          <w:szCs w:val="20"/>
        </w:rPr>
        <w:t xml:space="preserve">(a) </w:t>
      </w:r>
      <w:r w:rsidRPr="00455CCD">
        <w:rPr>
          <w:i/>
          <w:iCs/>
          <w:sz w:val="20"/>
          <w:szCs w:val="20"/>
        </w:rPr>
        <w:t>Emissions averaging option.</w:t>
      </w:r>
      <w:r w:rsidRPr="00455CCD">
        <w:rPr>
          <w:sz w:val="20"/>
          <w:szCs w:val="20"/>
        </w:rPr>
        <w:t xml:space="preserve"> For those open molding operations and materials complying using the emissions averaging option, you must demonstrate compliance by performing the steps in paragraphs (a)(1) through (5) of this section.</w:t>
      </w:r>
    </w:p>
    <w:p w:rsidR="002039ED" w:rsidRPr="00455CCD" w:rsidRDefault="002039ED" w:rsidP="001E664D">
      <w:pPr>
        <w:pStyle w:val="NormalWeb"/>
        <w:rPr>
          <w:sz w:val="20"/>
          <w:szCs w:val="20"/>
        </w:rPr>
      </w:pPr>
      <w:r w:rsidRPr="00455CCD">
        <w:rPr>
          <w:sz w:val="20"/>
          <w:szCs w:val="20"/>
        </w:rPr>
        <w:t>(1) Use the methods specified in § 63.5758 to determine the organic HAP content of resins and gel coats.</w:t>
      </w:r>
    </w:p>
    <w:p w:rsidR="002039ED" w:rsidRPr="00455CCD" w:rsidRDefault="002039ED" w:rsidP="001E664D">
      <w:pPr>
        <w:pStyle w:val="NormalWeb"/>
        <w:rPr>
          <w:sz w:val="20"/>
          <w:szCs w:val="20"/>
        </w:rPr>
      </w:pPr>
      <w:r w:rsidRPr="00455CCD">
        <w:rPr>
          <w:sz w:val="20"/>
          <w:szCs w:val="20"/>
        </w:rPr>
        <w:t>(2) Complete the calculations described in § 63.5710 to show that the organic HAP emissions do not exceed the limit specified in § 63.5698.</w:t>
      </w:r>
    </w:p>
    <w:p w:rsidR="002039ED" w:rsidRPr="00455CCD" w:rsidRDefault="002039ED" w:rsidP="001E664D">
      <w:pPr>
        <w:pStyle w:val="NormalWeb"/>
        <w:rPr>
          <w:sz w:val="20"/>
          <w:szCs w:val="20"/>
        </w:rPr>
      </w:pPr>
      <w:r w:rsidRPr="00455CCD">
        <w:rPr>
          <w:sz w:val="20"/>
          <w:szCs w:val="20"/>
        </w:rPr>
        <w:t>(3) Keep records as specified in paragraphs (a)(3)(i) through (iv) of this section for each resin and gel coat.</w:t>
      </w:r>
    </w:p>
    <w:p w:rsidR="002039ED" w:rsidRPr="00455CCD" w:rsidRDefault="002039ED" w:rsidP="001E664D">
      <w:pPr>
        <w:pStyle w:val="NormalWeb"/>
        <w:rPr>
          <w:sz w:val="20"/>
          <w:szCs w:val="20"/>
        </w:rPr>
      </w:pPr>
      <w:r w:rsidRPr="00455CCD">
        <w:rPr>
          <w:sz w:val="20"/>
          <w:szCs w:val="20"/>
        </w:rPr>
        <w:t>(i) Hazardous air pollutant content.</w:t>
      </w:r>
    </w:p>
    <w:p w:rsidR="002039ED" w:rsidRPr="00455CCD" w:rsidRDefault="002039ED" w:rsidP="001E664D">
      <w:pPr>
        <w:pStyle w:val="NormalWeb"/>
        <w:rPr>
          <w:sz w:val="20"/>
          <w:szCs w:val="20"/>
        </w:rPr>
      </w:pPr>
      <w:r w:rsidRPr="00455CCD">
        <w:rPr>
          <w:sz w:val="20"/>
          <w:szCs w:val="20"/>
        </w:rPr>
        <w:t>(ii) Amount of material used per month.</w:t>
      </w:r>
    </w:p>
    <w:p w:rsidR="002039ED" w:rsidRPr="00455CCD" w:rsidRDefault="002039ED" w:rsidP="001E664D">
      <w:pPr>
        <w:pStyle w:val="NormalWeb"/>
        <w:rPr>
          <w:sz w:val="20"/>
          <w:szCs w:val="20"/>
        </w:rPr>
      </w:pPr>
      <w:r w:rsidRPr="00455CCD">
        <w:rPr>
          <w:sz w:val="20"/>
          <w:szCs w:val="20"/>
        </w:rPr>
        <w:t>(iii) Application method used for production resin and tooling resin. This record is not required if all production resins and tooling resins are applied with nonatomized technology.</w:t>
      </w:r>
    </w:p>
    <w:p w:rsidR="002039ED" w:rsidRPr="00455CCD" w:rsidRDefault="002039ED" w:rsidP="001E664D">
      <w:pPr>
        <w:pStyle w:val="NormalWeb"/>
        <w:rPr>
          <w:sz w:val="20"/>
          <w:szCs w:val="20"/>
        </w:rPr>
      </w:pPr>
      <w:r w:rsidRPr="00455CCD">
        <w:rPr>
          <w:sz w:val="20"/>
          <w:szCs w:val="20"/>
        </w:rPr>
        <w:t>(iv) Calculations performed to demonstrate compliance based on MACT model point values, as described in § 63.5710.</w:t>
      </w:r>
    </w:p>
    <w:p w:rsidR="002039ED" w:rsidRPr="00455CCD" w:rsidRDefault="002039ED" w:rsidP="001E664D">
      <w:pPr>
        <w:pStyle w:val="NormalWeb"/>
        <w:rPr>
          <w:sz w:val="20"/>
          <w:szCs w:val="20"/>
        </w:rPr>
      </w:pPr>
      <w:r w:rsidRPr="00455CCD">
        <w:rPr>
          <w:sz w:val="20"/>
          <w:szCs w:val="20"/>
        </w:rPr>
        <w:t>(4) Prepare and submit the implementation plan described in § 63.5707 to the Administrator and keep it up to date.</w:t>
      </w:r>
    </w:p>
    <w:p w:rsidR="002039ED" w:rsidRPr="00455CCD" w:rsidRDefault="002039ED" w:rsidP="001E664D">
      <w:pPr>
        <w:pStyle w:val="NormalWeb"/>
        <w:rPr>
          <w:sz w:val="20"/>
          <w:szCs w:val="20"/>
        </w:rPr>
      </w:pPr>
      <w:r w:rsidRPr="00455CCD">
        <w:rPr>
          <w:sz w:val="20"/>
          <w:szCs w:val="20"/>
        </w:rPr>
        <w:t>(5) Submit semiannual compliance reports to the Administrator as specified in § 63.5764.</w:t>
      </w:r>
    </w:p>
    <w:p w:rsidR="002039ED" w:rsidRPr="00455CCD" w:rsidRDefault="002039ED" w:rsidP="001E664D">
      <w:pPr>
        <w:pStyle w:val="NormalWeb"/>
        <w:rPr>
          <w:sz w:val="20"/>
          <w:szCs w:val="20"/>
        </w:rPr>
      </w:pPr>
      <w:r w:rsidRPr="00455CCD">
        <w:rPr>
          <w:sz w:val="20"/>
          <w:szCs w:val="20"/>
        </w:rPr>
        <w:t xml:space="preserve">(b) </w:t>
      </w:r>
      <w:r w:rsidRPr="00455CCD">
        <w:rPr>
          <w:i/>
          <w:iCs/>
          <w:sz w:val="20"/>
          <w:szCs w:val="20"/>
        </w:rPr>
        <w:t>Compliant materials option.</w:t>
      </w:r>
      <w:r w:rsidRPr="00455CCD">
        <w:rPr>
          <w:sz w:val="20"/>
          <w:szCs w:val="20"/>
        </w:rPr>
        <w:t xml:space="preserve"> For each open molding operation complying using the compliant materials option, you must demonstrate compliance by performing the steps in paragraphs (b)(1) through (4) of this section.</w:t>
      </w:r>
    </w:p>
    <w:p w:rsidR="002039ED" w:rsidRPr="00455CCD" w:rsidRDefault="002039ED" w:rsidP="001E664D">
      <w:pPr>
        <w:pStyle w:val="NormalWeb"/>
        <w:rPr>
          <w:sz w:val="20"/>
          <w:szCs w:val="20"/>
        </w:rPr>
      </w:pPr>
      <w:r w:rsidRPr="00455CCD">
        <w:rPr>
          <w:sz w:val="20"/>
          <w:szCs w:val="20"/>
        </w:rPr>
        <w:t>(1) Use the methods specified in § 63.5758 to determine the organic HAP content of resins and gel coats.</w:t>
      </w:r>
    </w:p>
    <w:p w:rsidR="002039ED" w:rsidRPr="00455CCD" w:rsidRDefault="002039ED" w:rsidP="001E664D">
      <w:pPr>
        <w:pStyle w:val="NormalWeb"/>
        <w:rPr>
          <w:sz w:val="20"/>
          <w:szCs w:val="20"/>
        </w:rPr>
      </w:pPr>
      <w:r w:rsidRPr="00455CCD">
        <w:rPr>
          <w:sz w:val="20"/>
          <w:szCs w:val="20"/>
        </w:rPr>
        <w:t>(2) Complete the calculations described in § 63.5713 to show that the weighted-average organic HAP content does not exceed the limit specified in Table 2 to this subpart.</w:t>
      </w:r>
    </w:p>
    <w:p w:rsidR="002039ED" w:rsidRPr="00455CCD" w:rsidRDefault="002039ED" w:rsidP="001E664D">
      <w:pPr>
        <w:pStyle w:val="NormalWeb"/>
        <w:rPr>
          <w:sz w:val="20"/>
          <w:szCs w:val="20"/>
        </w:rPr>
      </w:pPr>
      <w:r w:rsidRPr="00455CCD">
        <w:rPr>
          <w:sz w:val="20"/>
          <w:szCs w:val="20"/>
        </w:rPr>
        <w:t>(3) Keep records as specified in paragraphs (b)(3)(i) through (iv) of this section for each resin and gel coat.</w:t>
      </w:r>
    </w:p>
    <w:p w:rsidR="002039ED" w:rsidRPr="00455CCD" w:rsidRDefault="002039ED" w:rsidP="001E664D">
      <w:pPr>
        <w:pStyle w:val="NormalWeb"/>
        <w:rPr>
          <w:sz w:val="20"/>
          <w:szCs w:val="20"/>
        </w:rPr>
      </w:pPr>
      <w:r w:rsidRPr="00455CCD">
        <w:rPr>
          <w:sz w:val="20"/>
          <w:szCs w:val="20"/>
        </w:rPr>
        <w:lastRenderedPageBreak/>
        <w:t>(i) Hazardous air pollutant content.</w:t>
      </w:r>
    </w:p>
    <w:p w:rsidR="002039ED" w:rsidRPr="00455CCD" w:rsidRDefault="002039ED" w:rsidP="001E664D">
      <w:pPr>
        <w:pStyle w:val="NormalWeb"/>
        <w:rPr>
          <w:sz w:val="20"/>
          <w:szCs w:val="20"/>
        </w:rPr>
      </w:pPr>
      <w:r w:rsidRPr="00455CCD">
        <w:rPr>
          <w:sz w:val="20"/>
          <w:szCs w:val="20"/>
        </w:rPr>
        <w:t>(ii) Application method for production resin and tooling resin. This record is not required if all production resins and tooling resins are applied with nonatomized technology.</w:t>
      </w:r>
    </w:p>
    <w:p w:rsidR="002039ED" w:rsidRPr="00455CCD" w:rsidRDefault="002039ED" w:rsidP="001E664D">
      <w:pPr>
        <w:pStyle w:val="NormalWeb"/>
        <w:rPr>
          <w:sz w:val="20"/>
          <w:szCs w:val="20"/>
        </w:rPr>
      </w:pPr>
      <w:r w:rsidRPr="00455CCD">
        <w:rPr>
          <w:sz w:val="20"/>
          <w:szCs w:val="20"/>
        </w:rPr>
        <w:t>(iii) Amount of material used per month. This record is not required for an operation if all materials used for that operation comply with the organic HAP content requirements.</w:t>
      </w:r>
    </w:p>
    <w:p w:rsidR="002039ED" w:rsidRPr="00455CCD" w:rsidRDefault="002039ED" w:rsidP="001E664D">
      <w:pPr>
        <w:pStyle w:val="NormalWeb"/>
        <w:rPr>
          <w:sz w:val="20"/>
          <w:szCs w:val="20"/>
        </w:rPr>
      </w:pPr>
      <w:r w:rsidRPr="00455CCD">
        <w:rPr>
          <w:sz w:val="20"/>
          <w:szCs w:val="20"/>
        </w:rPr>
        <w:t>(iv) Calculations performed, if required, to demonstrate compliance based on weighted-average organic HAP content as described in § 63.5713.</w:t>
      </w:r>
    </w:p>
    <w:p w:rsidR="002039ED" w:rsidRPr="00455CCD" w:rsidRDefault="002039ED" w:rsidP="001E664D">
      <w:pPr>
        <w:pStyle w:val="NormalWeb"/>
        <w:rPr>
          <w:sz w:val="20"/>
          <w:szCs w:val="20"/>
        </w:rPr>
      </w:pPr>
      <w:r w:rsidRPr="00455CCD">
        <w:rPr>
          <w:sz w:val="20"/>
          <w:szCs w:val="20"/>
        </w:rPr>
        <w:t>(4) Submit semiannual compliance reports to the Administrator as specified in § 63.5764.</w:t>
      </w:r>
    </w:p>
    <w:p w:rsidR="002039ED" w:rsidRPr="00455CCD" w:rsidRDefault="002039ED" w:rsidP="001E664D">
      <w:pPr>
        <w:pStyle w:val="NormalWeb"/>
        <w:rPr>
          <w:sz w:val="20"/>
          <w:szCs w:val="20"/>
        </w:rPr>
      </w:pPr>
      <w:r w:rsidRPr="00455CCD">
        <w:rPr>
          <w:sz w:val="20"/>
          <w:szCs w:val="20"/>
        </w:rPr>
        <w:t xml:space="preserve">(c) </w:t>
      </w:r>
      <w:r w:rsidRPr="00455CCD">
        <w:rPr>
          <w:i/>
          <w:iCs/>
          <w:sz w:val="20"/>
          <w:szCs w:val="20"/>
        </w:rPr>
        <w:t>Add-on control option.</w:t>
      </w:r>
      <w:r w:rsidRPr="00455CCD">
        <w:rPr>
          <w:sz w:val="20"/>
          <w:szCs w:val="20"/>
        </w:rPr>
        <w:t xml:space="preserve"> If you are using an add-on control device, you must demonstrate compliance by performing the steps in paragraphs (c)(1) through (5) of this section.</w:t>
      </w:r>
    </w:p>
    <w:p w:rsidR="002039ED" w:rsidRPr="00455CCD" w:rsidRDefault="002039ED" w:rsidP="001E664D">
      <w:pPr>
        <w:pStyle w:val="NormalWeb"/>
        <w:rPr>
          <w:sz w:val="20"/>
          <w:szCs w:val="20"/>
        </w:rPr>
      </w:pPr>
      <w:r w:rsidRPr="00455CCD">
        <w:rPr>
          <w:sz w:val="20"/>
          <w:szCs w:val="20"/>
        </w:rPr>
        <w:t>(1) Conduct a performance test of the control device as specified in §§ 63.5719 and 63.5722 to demonstrate initial compliance.</w:t>
      </w:r>
    </w:p>
    <w:p w:rsidR="002039ED" w:rsidRPr="00455CCD" w:rsidRDefault="002039ED" w:rsidP="001E664D">
      <w:pPr>
        <w:pStyle w:val="NormalWeb"/>
        <w:rPr>
          <w:sz w:val="20"/>
          <w:szCs w:val="20"/>
        </w:rPr>
      </w:pPr>
      <w:r w:rsidRPr="00455CCD">
        <w:rPr>
          <w:sz w:val="20"/>
          <w:szCs w:val="20"/>
        </w:rPr>
        <w:t>(2) Use the performance test results to determine control device parameters to monitor after the performance test as specified in § 63.5725.</w:t>
      </w:r>
    </w:p>
    <w:p w:rsidR="002039ED" w:rsidRPr="00455CCD" w:rsidRDefault="002039ED" w:rsidP="001E664D">
      <w:pPr>
        <w:pStyle w:val="NormalWeb"/>
        <w:rPr>
          <w:sz w:val="20"/>
          <w:szCs w:val="20"/>
        </w:rPr>
      </w:pPr>
      <w:r w:rsidRPr="00455CCD">
        <w:rPr>
          <w:sz w:val="20"/>
          <w:szCs w:val="20"/>
        </w:rPr>
        <w:t>(3) Comply with the operating limits specified in § 63.5715 and the control device and emission capture system monitoring requirements specified in § 63.5725 to demonstrate continuous compliance.</w:t>
      </w:r>
    </w:p>
    <w:p w:rsidR="002039ED" w:rsidRPr="00455CCD" w:rsidRDefault="002039ED" w:rsidP="001E664D">
      <w:pPr>
        <w:pStyle w:val="NormalWeb"/>
        <w:rPr>
          <w:sz w:val="20"/>
          <w:szCs w:val="20"/>
        </w:rPr>
      </w:pPr>
      <w:r w:rsidRPr="00455CCD">
        <w:rPr>
          <w:sz w:val="20"/>
          <w:szCs w:val="20"/>
        </w:rPr>
        <w:t>(4) Keep the records specified in § 63.5767.</w:t>
      </w:r>
    </w:p>
    <w:p w:rsidR="002039ED" w:rsidRPr="00455CCD" w:rsidRDefault="002039ED" w:rsidP="001E664D">
      <w:pPr>
        <w:pStyle w:val="NormalWeb"/>
        <w:rPr>
          <w:sz w:val="20"/>
          <w:szCs w:val="20"/>
        </w:rPr>
      </w:pPr>
      <w:r w:rsidRPr="00455CCD">
        <w:rPr>
          <w:sz w:val="20"/>
          <w:szCs w:val="20"/>
        </w:rPr>
        <w:t>(5) Submit to the Administrator the notifications and reports specified in §§ 63.5761 and 63.5764.</w:t>
      </w:r>
    </w:p>
    <w:p w:rsidR="002039ED" w:rsidRPr="00455CCD" w:rsidRDefault="002039ED" w:rsidP="001E664D">
      <w:pPr>
        <w:pStyle w:val="Heading2"/>
        <w:rPr>
          <w:rFonts w:ascii="Times New Roman" w:hAnsi="Times New Roman" w:cs="Times New Roman"/>
          <w:color w:val="auto"/>
          <w:sz w:val="20"/>
          <w:szCs w:val="20"/>
        </w:rPr>
      </w:pPr>
      <w:bookmarkStart w:id="12" w:name="40:13.0.1.1.1.28.360.10"/>
      <w:bookmarkEnd w:id="12"/>
      <w:r w:rsidRPr="00455CCD">
        <w:rPr>
          <w:rFonts w:ascii="Times New Roman" w:hAnsi="Times New Roman" w:cs="Times New Roman"/>
          <w:color w:val="auto"/>
          <w:sz w:val="20"/>
          <w:szCs w:val="20"/>
        </w:rPr>
        <w:t>§ 63.5707   What is an implementation plan for open molding operations and when do I need to prepare one?</w:t>
      </w:r>
    </w:p>
    <w:p w:rsidR="002039ED" w:rsidRPr="00455CCD" w:rsidRDefault="002039ED" w:rsidP="001E664D">
      <w:pPr>
        <w:pStyle w:val="NormalWeb"/>
        <w:rPr>
          <w:sz w:val="20"/>
          <w:szCs w:val="20"/>
        </w:rPr>
      </w:pPr>
      <w:r w:rsidRPr="00455CCD">
        <w:rPr>
          <w:sz w:val="20"/>
          <w:szCs w:val="20"/>
        </w:rPr>
        <w:t>(a) You must prepare an implementation plan for all open molding operations for which you comply by using the emissions averaging option described in § 63.5704(a).</w:t>
      </w:r>
    </w:p>
    <w:p w:rsidR="002039ED" w:rsidRPr="00455CCD" w:rsidRDefault="002039ED" w:rsidP="001E664D">
      <w:pPr>
        <w:pStyle w:val="NormalWeb"/>
        <w:rPr>
          <w:sz w:val="20"/>
          <w:szCs w:val="20"/>
        </w:rPr>
      </w:pPr>
      <w:r w:rsidRPr="00455CCD">
        <w:rPr>
          <w:sz w:val="20"/>
          <w:szCs w:val="20"/>
        </w:rPr>
        <w:t>(b) The implementation plan must describe the steps you will take to bring the open molding operations covered by this subpart into compliance. For each operation included in the emissions average, your implementation plan must include the elements listed in paragraphs (b)(1) through (3) of this section.</w:t>
      </w:r>
    </w:p>
    <w:p w:rsidR="002039ED" w:rsidRPr="00455CCD" w:rsidRDefault="002039ED" w:rsidP="001E664D">
      <w:pPr>
        <w:pStyle w:val="NormalWeb"/>
        <w:rPr>
          <w:sz w:val="20"/>
          <w:szCs w:val="20"/>
        </w:rPr>
      </w:pPr>
      <w:r w:rsidRPr="00455CCD">
        <w:rPr>
          <w:sz w:val="20"/>
          <w:szCs w:val="20"/>
        </w:rPr>
        <w:t>(1) A description of each operation included in the average.</w:t>
      </w:r>
    </w:p>
    <w:p w:rsidR="002039ED" w:rsidRPr="00455CCD" w:rsidRDefault="002039ED" w:rsidP="001E664D">
      <w:pPr>
        <w:pStyle w:val="NormalWeb"/>
        <w:rPr>
          <w:sz w:val="20"/>
          <w:szCs w:val="20"/>
        </w:rPr>
      </w:pPr>
      <w:r w:rsidRPr="00455CCD">
        <w:rPr>
          <w:sz w:val="20"/>
          <w:szCs w:val="20"/>
        </w:rPr>
        <w:t>(2) The maximum organic HAP content of the materials used, the application method used (if any atomized resin application methods are used in the average), and any other methods used to control emissions.</w:t>
      </w:r>
    </w:p>
    <w:p w:rsidR="002039ED" w:rsidRPr="00455CCD" w:rsidRDefault="002039ED" w:rsidP="001E664D">
      <w:pPr>
        <w:pStyle w:val="NormalWeb"/>
        <w:rPr>
          <w:sz w:val="20"/>
          <w:szCs w:val="20"/>
        </w:rPr>
      </w:pPr>
      <w:r w:rsidRPr="00455CCD">
        <w:rPr>
          <w:sz w:val="20"/>
          <w:szCs w:val="20"/>
        </w:rPr>
        <w:t>(3) Calculations showing that the operations covered by the plan will comply with the open molding emission limit specified in § 63.5698.</w:t>
      </w:r>
    </w:p>
    <w:p w:rsidR="002039ED" w:rsidRPr="00455CCD" w:rsidRDefault="002039ED" w:rsidP="001E664D">
      <w:pPr>
        <w:pStyle w:val="NormalWeb"/>
        <w:rPr>
          <w:sz w:val="20"/>
          <w:szCs w:val="20"/>
        </w:rPr>
      </w:pPr>
      <w:r w:rsidRPr="00455CCD">
        <w:rPr>
          <w:sz w:val="20"/>
          <w:szCs w:val="20"/>
        </w:rPr>
        <w:t>(c) You must submit the implementation plan to the Administrator with the notification of compliance status specified in § 63.5761.</w:t>
      </w:r>
    </w:p>
    <w:p w:rsidR="002039ED" w:rsidRPr="00455CCD" w:rsidRDefault="002039ED" w:rsidP="001E664D">
      <w:pPr>
        <w:pStyle w:val="NormalWeb"/>
        <w:rPr>
          <w:sz w:val="20"/>
          <w:szCs w:val="20"/>
        </w:rPr>
      </w:pPr>
      <w:r w:rsidRPr="00455CCD">
        <w:rPr>
          <w:sz w:val="20"/>
          <w:szCs w:val="20"/>
        </w:rPr>
        <w:t>(d) You must keep the implementation plan on site and provide it to the Administrator when asked.</w:t>
      </w:r>
    </w:p>
    <w:p w:rsidR="002039ED" w:rsidRPr="00455CCD" w:rsidRDefault="002039ED" w:rsidP="001E664D">
      <w:pPr>
        <w:pStyle w:val="NormalWeb"/>
        <w:rPr>
          <w:sz w:val="20"/>
          <w:szCs w:val="20"/>
        </w:rPr>
      </w:pPr>
      <w:r w:rsidRPr="00455CCD">
        <w:rPr>
          <w:sz w:val="20"/>
          <w:szCs w:val="20"/>
        </w:rPr>
        <w:t>(e) If you revise the implementation plan, you must submit the revised plan with your next semiannual compliance report specified in § 63.5764.</w:t>
      </w:r>
    </w:p>
    <w:p w:rsidR="002039ED" w:rsidRPr="00455CCD" w:rsidRDefault="002039ED" w:rsidP="001E664D">
      <w:pPr>
        <w:pStyle w:val="Heading2"/>
        <w:rPr>
          <w:rFonts w:ascii="Times New Roman" w:hAnsi="Times New Roman" w:cs="Times New Roman"/>
          <w:color w:val="auto"/>
          <w:sz w:val="20"/>
          <w:szCs w:val="20"/>
        </w:rPr>
      </w:pPr>
      <w:bookmarkStart w:id="13" w:name="40:13.0.1.1.1.28.360.11"/>
      <w:bookmarkEnd w:id="13"/>
      <w:r w:rsidRPr="00455CCD">
        <w:rPr>
          <w:rFonts w:ascii="Times New Roman" w:hAnsi="Times New Roman" w:cs="Times New Roman"/>
          <w:color w:val="auto"/>
          <w:sz w:val="20"/>
          <w:szCs w:val="20"/>
        </w:rPr>
        <w:lastRenderedPageBreak/>
        <w:t>§ 63.5710   How do I demonstrate compliance using emissions averaging?</w:t>
      </w:r>
    </w:p>
    <w:p w:rsidR="002039ED" w:rsidRPr="00455CCD" w:rsidRDefault="002039ED" w:rsidP="001E664D">
      <w:pPr>
        <w:pStyle w:val="NormalWeb"/>
        <w:rPr>
          <w:sz w:val="20"/>
          <w:szCs w:val="20"/>
        </w:rPr>
      </w:pPr>
      <w:r w:rsidRPr="00455CCD">
        <w:rPr>
          <w:sz w:val="20"/>
          <w:szCs w:val="20"/>
        </w:rPr>
        <w:t>(a) Compliance using the emissions averaging option is demonstrated on a 12-month rolling-average basis and is determined at the end of every month (12 times per year). The first 12-month rolling-average period begins on the compliance date specified in § 63.5695.</w:t>
      </w:r>
    </w:p>
    <w:p w:rsidR="002039ED" w:rsidRPr="00455CCD" w:rsidRDefault="002039ED" w:rsidP="001E664D">
      <w:pPr>
        <w:pStyle w:val="NormalWeb"/>
        <w:rPr>
          <w:sz w:val="20"/>
          <w:szCs w:val="20"/>
        </w:rPr>
      </w:pPr>
      <w:r w:rsidRPr="00455CCD">
        <w:rPr>
          <w:sz w:val="20"/>
          <w:szCs w:val="20"/>
        </w:rPr>
        <w:t>(b) At the end of the twelfth month after your compliance date and at the end of every subsequent month, use equation 1 of this section to demonstrate that the organic HAP emissions from those operations included in the average do not exceed the emission limit in § 63.5698 calculated for the same 12-month period. (Include terms in equation 1 of § 63.5698 and equation 1 of this section for only those operations and materials included in the average.)</w:t>
      </w:r>
    </w:p>
    <w:p w:rsidR="002039ED" w:rsidRPr="00455CCD" w:rsidRDefault="002039ED" w:rsidP="001E664D">
      <w:pPr>
        <w:rPr>
          <w:sz w:val="20"/>
          <w:szCs w:val="20"/>
        </w:rPr>
      </w:pPr>
      <w:r w:rsidRPr="00455CCD">
        <w:rPr>
          <w:noProof/>
          <w:sz w:val="20"/>
          <w:szCs w:val="20"/>
        </w:rPr>
        <w:drawing>
          <wp:inline distT="0" distB="0" distL="0" distR="0">
            <wp:extent cx="6629400" cy="276225"/>
            <wp:effectExtent l="19050" t="0" r="0" b="0"/>
            <wp:docPr id="18" name="Picture 18" descr="eCFR graphic 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22au01.012.gif"/>
                    <pic:cNvPicPr>
                      <a:picLocks noChangeAspect="1" noChangeArrowheads="1"/>
                    </pic:cNvPicPr>
                  </pic:nvPicPr>
                  <pic:blipFill>
                    <a:blip r:embed="rId66" cstate="print"/>
                    <a:srcRect/>
                    <a:stretch>
                      <a:fillRect/>
                    </a:stretch>
                  </pic:blipFill>
                  <pic:spPr bwMode="auto">
                    <a:xfrm>
                      <a:off x="0" y="0"/>
                      <a:ext cx="6629400" cy="276225"/>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HAP emissions= Organic HAP emissions calculated using MACT model point values for each operation included in the average, kilograms.</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R</w:t>
      </w:r>
      <w:r w:rsidRPr="00455CCD">
        <w:rPr>
          <w:sz w:val="20"/>
          <w:szCs w:val="20"/>
        </w:rPr>
        <w:t xml:space="preserve"> = Weighted-average MACT model point value for production resin used in the past 12 months, kilograms per megagram.</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R</w:t>
      </w:r>
      <w:r w:rsidRPr="00455CCD">
        <w:rPr>
          <w:sz w:val="20"/>
          <w:szCs w:val="20"/>
        </w:rPr>
        <w:t xml:space="preserve"> = Mass of production resin used in the past 12 months, megagrams.</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PG</w:t>
      </w:r>
      <w:r w:rsidRPr="00455CCD">
        <w:rPr>
          <w:sz w:val="20"/>
          <w:szCs w:val="20"/>
        </w:rPr>
        <w:t xml:space="preserve"> = Weighted-average MACT model point value for pigmented gel coat used in the past 12 months, kilograms per megagram.</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PG</w:t>
      </w:r>
      <w:r w:rsidRPr="00455CCD">
        <w:rPr>
          <w:sz w:val="20"/>
          <w:szCs w:val="20"/>
        </w:rPr>
        <w:t xml:space="preserve"> = Mass of pigmented gel coat used in the past 12 months, megagrams.</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CG</w:t>
      </w:r>
      <w:r w:rsidRPr="00455CCD">
        <w:rPr>
          <w:sz w:val="20"/>
          <w:szCs w:val="20"/>
        </w:rPr>
        <w:t xml:space="preserve"> = Weighted-average MACT model point value for clear gel coat used in the past 12 months, kilograms per megagram.</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CG</w:t>
      </w:r>
      <w:r w:rsidRPr="00455CCD">
        <w:rPr>
          <w:sz w:val="20"/>
          <w:szCs w:val="20"/>
        </w:rPr>
        <w:t xml:space="preserve"> = Mass of clear gel coat used in the past 12 months, megagrams.</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TR</w:t>
      </w:r>
      <w:r w:rsidRPr="00455CCD">
        <w:rPr>
          <w:sz w:val="20"/>
          <w:szCs w:val="20"/>
        </w:rPr>
        <w:t xml:space="preserve"> = Weighted-average MACT model point value for tooling resin used in the past 12 months, kilograms per megagram.</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TR</w:t>
      </w:r>
      <w:r w:rsidRPr="00455CCD">
        <w:rPr>
          <w:sz w:val="20"/>
          <w:szCs w:val="20"/>
        </w:rPr>
        <w:t xml:space="preserve"> = Mass of tooling resin used in the past 12 months, megagrams.</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TG</w:t>
      </w:r>
      <w:r w:rsidRPr="00455CCD">
        <w:rPr>
          <w:sz w:val="20"/>
          <w:szCs w:val="20"/>
        </w:rPr>
        <w:t xml:space="preserve"> = Weighted-average MACT model point value for tooling gel coat used in the past 12 months, kilograms per megagram.</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TG</w:t>
      </w:r>
      <w:r w:rsidRPr="00455CCD">
        <w:rPr>
          <w:sz w:val="20"/>
          <w:szCs w:val="20"/>
        </w:rPr>
        <w:t xml:space="preserve"> = Mass of tooling gel coat used in the past 12 months, megagrams.</w:t>
      </w:r>
    </w:p>
    <w:p w:rsidR="002039ED" w:rsidRPr="00455CCD" w:rsidRDefault="002039ED" w:rsidP="001E664D">
      <w:pPr>
        <w:pStyle w:val="NormalWeb"/>
        <w:rPr>
          <w:sz w:val="20"/>
          <w:szCs w:val="20"/>
        </w:rPr>
      </w:pPr>
      <w:r w:rsidRPr="00455CCD">
        <w:rPr>
          <w:sz w:val="20"/>
          <w:szCs w:val="20"/>
        </w:rPr>
        <w:t>(c) At the end of every month, use equation 2 of this section to compute the weighted-average MACT model point value for each open molding resin and gel coat operation included in the average.</w:t>
      </w:r>
    </w:p>
    <w:p w:rsidR="002039ED" w:rsidRPr="00455CCD" w:rsidRDefault="002039ED" w:rsidP="001E664D">
      <w:pPr>
        <w:rPr>
          <w:sz w:val="20"/>
          <w:szCs w:val="20"/>
        </w:rPr>
      </w:pPr>
      <w:r w:rsidRPr="00455CCD">
        <w:rPr>
          <w:noProof/>
          <w:sz w:val="20"/>
          <w:szCs w:val="20"/>
        </w:rPr>
        <w:drawing>
          <wp:inline distT="0" distB="0" distL="0" distR="0">
            <wp:extent cx="2028825" cy="838200"/>
            <wp:effectExtent l="19050" t="0" r="9525" b="0"/>
            <wp:docPr id="19" name="Picture 19" descr="eCFR graphic 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22au01.013.gif"/>
                    <pic:cNvPicPr>
                      <a:picLocks noChangeAspect="1" noChangeArrowheads="1"/>
                    </pic:cNvPicPr>
                  </pic:nvPicPr>
                  <pic:blipFill>
                    <a:blip r:embed="rId67" cstate="print"/>
                    <a:srcRect/>
                    <a:stretch>
                      <a:fillRect/>
                    </a:stretch>
                  </pic:blipFill>
                  <pic:spPr bwMode="auto">
                    <a:xfrm>
                      <a:off x="0" y="0"/>
                      <a:ext cx="2028825" cy="838200"/>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OP</w:t>
      </w:r>
      <w:r w:rsidRPr="00455CCD">
        <w:rPr>
          <w:sz w:val="20"/>
          <w:szCs w:val="20"/>
        </w:rPr>
        <w:t xml:space="preserve"> =weighted-average MACT model point value for each open molding operation (PV</w:t>
      </w:r>
      <w:r w:rsidRPr="00455CCD">
        <w:rPr>
          <w:sz w:val="20"/>
          <w:szCs w:val="20"/>
          <w:vertAlign w:val="subscript"/>
        </w:rPr>
        <w:t>R</w:t>
      </w:r>
      <w:r w:rsidRPr="00455CCD">
        <w:rPr>
          <w:sz w:val="20"/>
          <w:szCs w:val="20"/>
        </w:rPr>
        <w:t xml:space="preserve"> , PV</w:t>
      </w:r>
      <w:r w:rsidRPr="00455CCD">
        <w:rPr>
          <w:sz w:val="20"/>
          <w:szCs w:val="20"/>
          <w:vertAlign w:val="subscript"/>
        </w:rPr>
        <w:t>PG</w:t>
      </w:r>
      <w:r w:rsidRPr="00455CCD">
        <w:rPr>
          <w:sz w:val="20"/>
          <w:szCs w:val="20"/>
        </w:rPr>
        <w:t xml:space="preserve"> , PV</w:t>
      </w:r>
      <w:r w:rsidRPr="00455CCD">
        <w:rPr>
          <w:sz w:val="20"/>
          <w:szCs w:val="20"/>
          <w:vertAlign w:val="subscript"/>
        </w:rPr>
        <w:t>CG</w:t>
      </w:r>
      <w:r w:rsidRPr="00455CCD">
        <w:rPr>
          <w:sz w:val="20"/>
          <w:szCs w:val="20"/>
        </w:rPr>
        <w:t xml:space="preserve"> , PV</w:t>
      </w:r>
      <w:r w:rsidRPr="00455CCD">
        <w:rPr>
          <w:sz w:val="20"/>
          <w:szCs w:val="20"/>
          <w:vertAlign w:val="subscript"/>
        </w:rPr>
        <w:t>TR</w:t>
      </w:r>
      <w:r w:rsidRPr="00455CCD">
        <w:rPr>
          <w:sz w:val="20"/>
          <w:szCs w:val="20"/>
        </w:rPr>
        <w:t xml:space="preserve"> , and PV</w:t>
      </w:r>
      <w:r w:rsidRPr="00455CCD">
        <w:rPr>
          <w:sz w:val="20"/>
          <w:szCs w:val="20"/>
          <w:vertAlign w:val="subscript"/>
        </w:rPr>
        <w:t>TG</w:t>
      </w:r>
      <w:r w:rsidRPr="00455CCD">
        <w:rPr>
          <w:sz w:val="20"/>
          <w:szCs w:val="20"/>
        </w:rPr>
        <w:t xml:space="preserve"> ) included in the average, kilograms of HAP per megagram of material applied.</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i</w:t>
      </w:r>
      <w:r w:rsidRPr="00455CCD">
        <w:rPr>
          <w:sz w:val="20"/>
          <w:szCs w:val="20"/>
        </w:rPr>
        <w:t xml:space="preserve"> =mass of resin or gel coat i used within an operation in the past 12 months, megagrams.</w:t>
      </w:r>
    </w:p>
    <w:p w:rsidR="002039ED" w:rsidRPr="00455CCD" w:rsidRDefault="002039ED" w:rsidP="001E664D">
      <w:pPr>
        <w:pStyle w:val="fp-2"/>
        <w:rPr>
          <w:sz w:val="20"/>
          <w:szCs w:val="20"/>
        </w:rPr>
      </w:pPr>
      <w:r w:rsidRPr="00455CCD">
        <w:rPr>
          <w:sz w:val="20"/>
          <w:szCs w:val="20"/>
        </w:rPr>
        <w:lastRenderedPageBreak/>
        <w:t>n=number of different open molding resins and gel coats used within an operation in the past 12 months.</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i</w:t>
      </w:r>
      <w:r w:rsidRPr="00455CCD">
        <w:rPr>
          <w:sz w:val="20"/>
          <w:szCs w:val="20"/>
        </w:rPr>
        <w:t xml:space="preserve"> =the MACT model point value for resin or gel coat i used within an operation in the past 12 months, kilograms of HAP per megagram of material applied.</w:t>
      </w:r>
    </w:p>
    <w:p w:rsidR="002039ED" w:rsidRPr="00455CCD" w:rsidRDefault="002039ED" w:rsidP="001E664D">
      <w:pPr>
        <w:pStyle w:val="NormalWeb"/>
        <w:rPr>
          <w:sz w:val="20"/>
          <w:szCs w:val="20"/>
        </w:rPr>
      </w:pPr>
      <w:r w:rsidRPr="00455CCD">
        <w:rPr>
          <w:sz w:val="20"/>
          <w:szCs w:val="20"/>
        </w:rPr>
        <w:t>(d) You must use the equations in Table 3 to this subpart to calculate the MACT model point value (PV</w:t>
      </w:r>
      <w:r w:rsidRPr="00455CCD">
        <w:rPr>
          <w:sz w:val="20"/>
          <w:szCs w:val="20"/>
          <w:vertAlign w:val="subscript"/>
        </w:rPr>
        <w:t>i</w:t>
      </w:r>
      <w:r w:rsidRPr="00455CCD">
        <w:rPr>
          <w:sz w:val="20"/>
          <w:szCs w:val="20"/>
        </w:rPr>
        <w:t xml:space="preserve"> ) for each resin and gel coat used in each operation in the past 12 months.</w:t>
      </w:r>
    </w:p>
    <w:p w:rsidR="002039ED" w:rsidRPr="00455CCD" w:rsidRDefault="002039ED" w:rsidP="001E664D">
      <w:pPr>
        <w:pStyle w:val="NormalWeb"/>
        <w:rPr>
          <w:sz w:val="20"/>
          <w:szCs w:val="20"/>
        </w:rPr>
      </w:pPr>
      <w:r w:rsidRPr="00455CCD">
        <w:rPr>
          <w:sz w:val="20"/>
          <w:szCs w:val="20"/>
        </w:rPr>
        <w:t>(e) If the organic HAP emissions, as calculated in paragraph (b) of this section, are less than the organic HAP limit calculated in § 63.5698(b) for the same 12-month period, then you are in compliance with the emission limit in § 63.5698 for those operations and materials included in the average.</w:t>
      </w:r>
    </w:p>
    <w:p w:rsidR="002039ED" w:rsidRPr="00455CCD" w:rsidRDefault="002039ED" w:rsidP="001E664D">
      <w:pPr>
        <w:pStyle w:val="cita"/>
        <w:rPr>
          <w:sz w:val="20"/>
          <w:szCs w:val="20"/>
        </w:rPr>
      </w:pPr>
      <w:r w:rsidRPr="00455CCD">
        <w:rPr>
          <w:sz w:val="20"/>
          <w:szCs w:val="20"/>
        </w:rPr>
        <w:t>[66 FR 44232, Aug. 22, 2001; 66 FR 50504, Oct. 3, 2001]</w:t>
      </w:r>
    </w:p>
    <w:p w:rsidR="002039ED" w:rsidRPr="00455CCD" w:rsidRDefault="002039ED" w:rsidP="001E664D">
      <w:pPr>
        <w:pStyle w:val="Heading2"/>
        <w:rPr>
          <w:rFonts w:ascii="Times New Roman" w:hAnsi="Times New Roman" w:cs="Times New Roman"/>
          <w:color w:val="auto"/>
          <w:sz w:val="20"/>
          <w:szCs w:val="20"/>
        </w:rPr>
      </w:pPr>
      <w:bookmarkStart w:id="14" w:name="40:13.0.1.1.1.28.360.12"/>
      <w:bookmarkEnd w:id="14"/>
      <w:r w:rsidRPr="00455CCD">
        <w:rPr>
          <w:rFonts w:ascii="Times New Roman" w:hAnsi="Times New Roman" w:cs="Times New Roman"/>
          <w:color w:val="auto"/>
          <w:sz w:val="20"/>
          <w:szCs w:val="20"/>
        </w:rPr>
        <w:t>§ 63.5713   How do I demonstrate compliance using compliant materials?</w:t>
      </w:r>
    </w:p>
    <w:p w:rsidR="002039ED" w:rsidRPr="00455CCD" w:rsidRDefault="002039ED" w:rsidP="001E664D">
      <w:pPr>
        <w:pStyle w:val="NormalWeb"/>
        <w:rPr>
          <w:sz w:val="20"/>
          <w:szCs w:val="20"/>
        </w:rPr>
      </w:pPr>
      <w:r w:rsidRPr="00455CCD">
        <w:rPr>
          <w:sz w:val="20"/>
          <w:szCs w:val="20"/>
        </w:rPr>
        <w:t>(a) Compliance using the organic HAP content requirements listed in Table 2 to this subpart is based on a 12-month rolling average that is calculated at the end of every month. The first 12-month rolling-average period begins on the compliance date specified in § 63.5695. If you are using filled material (production resin or tooling resin), you must comply according to the procedure described in § 63.5714.</w:t>
      </w:r>
    </w:p>
    <w:p w:rsidR="002039ED" w:rsidRPr="00455CCD" w:rsidRDefault="002039ED" w:rsidP="001E664D">
      <w:pPr>
        <w:pStyle w:val="NormalWeb"/>
        <w:rPr>
          <w:sz w:val="20"/>
          <w:szCs w:val="20"/>
        </w:rPr>
      </w:pPr>
      <w:r w:rsidRPr="00455CCD">
        <w:rPr>
          <w:sz w:val="20"/>
          <w:szCs w:val="20"/>
        </w:rPr>
        <w:t>(b) 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 63.5698 for that 12-month period for that operation. In addition, you do not need to complete the weighted-average organic HAP content calculation contained in paragraph (c) of this section for that operation.</w:t>
      </w:r>
    </w:p>
    <w:p w:rsidR="002039ED" w:rsidRPr="00455CCD" w:rsidRDefault="002039ED" w:rsidP="001E664D">
      <w:pPr>
        <w:pStyle w:val="NormalWeb"/>
        <w:rPr>
          <w:sz w:val="20"/>
          <w:szCs w:val="20"/>
        </w:rPr>
      </w:pPr>
      <w:r w:rsidRPr="00455CCD">
        <w:rPr>
          <w:sz w:val="20"/>
          <w:szCs w:val="20"/>
        </w:rPr>
        <w:t>(c) At the end of every month, you must use equation 1 of this section to calculate the weighted-average organic HAP content for all resins and gel coats used in each operation in the past 12 months.</w:t>
      </w:r>
    </w:p>
    <w:p w:rsidR="002039ED" w:rsidRPr="00455CCD" w:rsidRDefault="002039ED" w:rsidP="001E664D">
      <w:pPr>
        <w:rPr>
          <w:sz w:val="20"/>
          <w:szCs w:val="20"/>
        </w:rPr>
      </w:pPr>
      <w:r w:rsidRPr="00455CCD">
        <w:rPr>
          <w:noProof/>
          <w:sz w:val="20"/>
          <w:szCs w:val="20"/>
        </w:rPr>
        <w:drawing>
          <wp:inline distT="0" distB="0" distL="0" distR="0">
            <wp:extent cx="4124325" cy="838200"/>
            <wp:effectExtent l="19050" t="0" r="9525" b="0"/>
            <wp:docPr id="21" name="Picture 21" descr="eCFR graphic 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22au01.014.gif"/>
                    <pic:cNvPicPr>
                      <a:picLocks noChangeAspect="1" noChangeArrowheads="1"/>
                    </pic:cNvPicPr>
                  </pic:nvPicPr>
                  <pic:blipFill>
                    <a:blip r:embed="rId68" cstate="print"/>
                    <a:srcRect/>
                    <a:stretch>
                      <a:fillRect/>
                    </a:stretch>
                  </pic:blipFill>
                  <pic:spPr bwMode="auto">
                    <a:xfrm>
                      <a:off x="0" y="0"/>
                      <a:ext cx="4124325" cy="838200"/>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M</w:t>
      </w:r>
      <w:r w:rsidRPr="00455CCD">
        <w:rPr>
          <w:sz w:val="20"/>
          <w:szCs w:val="20"/>
          <w:vertAlign w:val="subscript"/>
        </w:rPr>
        <w:t>i</w:t>
      </w:r>
      <w:r w:rsidRPr="00455CCD">
        <w:rPr>
          <w:sz w:val="20"/>
          <w:szCs w:val="20"/>
        </w:rPr>
        <w:t xml:space="preserve"> = mass of open molding resin or gel coat i used in the past 12 months in an operation, megagrams.</w:t>
      </w:r>
    </w:p>
    <w:p w:rsidR="002039ED" w:rsidRPr="00455CCD" w:rsidRDefault="002039ED" w:rsidP="001E664D">
      <w:pPr>
        <w:pStyle w:val="fp-2"/>
        <w:rPr>
          <w:sz w:val="20"/>
          <w:szCs w:val="20"/>
        </w:rPr>
      </w:pPr>
      <w:r w:rsidRPr="00455CCD">
        <w:rPr>
          <w:sz w:val="20"/>
          <w:szCs w:val="20"/>
        </w:rPr>
        <w:t>HAP</w:t>
      </w:r>
      <w:r w:rsidRPr="00455CCD">
        <w:rPr>
          <w:sz w:val="20"/>
          <w:szCs w:val="20"/>
          <w:vertAlign w:val="subscript"/>
        </w:rPr>
        <w:t>i</w:t>
      </w:r>
      <w:r w:rsidRPr="00455CCD">
        <w:rPr>
          <w:sz w:val="20"/>
          <w:szCs w:val="20"/>
        </w:rPr>
        <w:t xml:space="preserve"> = Organic HAP content, by weight percent, of open molding resin or gel coat i used in the past 12 months in an operation. Use the methods in § 63.5758 to determine organic HAP content.</w:t>
      </w:r>
    </w:p>
    <w:p w:rsidR="002039ED" w:rsidRPr="00455CCD" w:rsidRDefault="002039ED" w:rsidP="001E664D">
      <w:pPr>
        <w:pStyle w:val="fp-2"/>
        <w:rPr>
          <w:sz w:val="20"/>
          <w:szCs w:val="20"/>
        </w:rPr>
      </w:pPr>
      <w:r w:rsidRPr="00455CCD">
        <w:rPr>
          <w:sz w:val="20"/>
          <w:szCs w:val="20"/>
        </w:rPr>
        <w:t>n = number of different open molding resins or gel coats used in the past 12 months in an operation.</w:t>
      </w:r>
    </w:p>
    <w:p w:rsidR="002039ED" w:rsidRPr="00455CCD" w:rsidRDefault="002039ED" w:rsidP="001E664D">
      <w:pPr>
        <w:pStyle w:val="NormalWeb"/>
        <w:rPr>
          <w:sz w:val="20"/>
          <w:szCs w:val="20"/>
        </w:rPr>
      </w:pPr>
      <w:r w:rsidRPr="00455CCD">
        <w:rPr>
          <w:sz w:val="20"/>
          <w:szCs w:val="20"/>
        </w:rPr>
        <w:t>(d) If the weighted-average organic HAP content does not exceed the applicable organic HAP content limit specified in Table 2 to this subpart, then you are in compliance with the emission limit specified in § 63.5698.</w:t>
      </w:r>
    </w:p>
    <w:p w:rsidR="002039ED" w:rsidRPr="00455CCD" w:rsidRDefault="002039ED" w:rsidP="001E664D">
      <w:pPr>
        <w:pStyle w:val="Heading2"/>
        <w:rPr>
          <w:rFonts w:ascii="Times New Roman" w:hAnsi="Times New Roman" w:cs="Times New Roman"/>
          <w:color w:val="auto"/>
          <w:sz w:val="20"/>
          <w:szCs w:val="20"/>
        </w:rPr>
      </w:pPr>
      <w:bookmarkStart w:id="15" w:name="40:13.0.1.1.1.28.360.13"/>
      <w:bookmarkEnd w:id="15"/>
      <w:r w:rsidRPr="00455CCD">
        <w:rPr>
          <w:rFonts w:ascii="Times New Roman" w:hAnsi="Times New Roman" w:cs="Times New Roman"/>
          <w:color w:val="auto"/>
          <w:sz w:val="20"/>
          <w:szCs w:val="20"/>
        </w:rPr>
        <w:t>§ 63.5714   How do I demonstrate compliance if I use filled resins?</w:t>
      </w:r>
    </w:p>
    <w:p w:rsidR="002039ED" w:rsidRPr="00455CCD" w:rsidRDefault="002039ED" w:rsidP="001E664D">
      <w:pPr>
        <w:pStyle w:val="NormalWeb"/>
        <w:rPr>
          <w:sz w:val="20"/>
          <w:szCs w:val="20"/>
        </w:rPr>
      </w:pPr>
      <w:r w:rsidRPr="00455CCD">
        <w:rPr>
          <w:sz w:val="20"/>
          <w:szCs w:val="20"/>
        </w:rPr>
        <w:t>(a) If you are using a filled production resin or filled tooling resin, you must demonstrate compliance for the filled material on an as-applied basis using equation 1 of this section.</w:t>
      </w:r>
    </w:p>
    <w:p w:rsidR="002039ED" w:rsidRPr="00455CCD" w:rsidRDefault="002039ED" w:rsidP="001E664D">
      <w:pPr>
        <w:rPr>
          <w:sz w:val="20"/>
          <w:szCs w:val="20"/>
        </w:rPr>
      </w:pPr>
      <w:r w:rsidRPr="00455CCD">
        <w:rPr>
          <w:noProof/>
          <w:sz w:val="20"/>
          <w:szCs w:val="20"/>
        </w:rPr>
        <w:lastRenderedPageBreak/>
        <w:drawing>
          <wp:inline distT="0" distB="0" distL="0" distR="0">
            <wp:extent cx="2524125" cy="419100"/>
            <wp:effectExtent l="19050" t="0" r="9525" b="0"/>
            <wp:docPr id="23" name="Picture 23" descr="eCFR graphic 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22au01.015.gif"/>
                    <pic:cNvPicPr>
                      <a:picLocks noChangeAspect="1" noChangeArrowheads="1"/>
                    </pic:cNvPicPr>
                  </pic:nvPicPr>
                  <pic:blipFill>
                    <a:blip r:embed="rId69" cstate="print"/>
                    <a:srcRect/>
                    <a:stretch>
                      <a:fillRect/>
                    </a:stretch>
                  </pic:blipFill>
                  <pic:spPr bwMode="auto">
                    <a:xfrm>
                      <a:off x="0" y="0"/>
                      <a:ext cx="2524125" cy="419100"/>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F</w:t>
      </w:r>
      <w:r w:rsidRPr="00455CCD">
        <w:rPr>
          <w:sz w:val="20"/>
          <w:szCs w:val="20"/>
        </w:rPr>
        <w:t xml:space="preserve"> = The as-applied MACT model point value for a filled production resin or tooling resin, kilograms organic HAP per megagram of filled material.</w:t>
      </w:r>
    </w:p>
    <w:p w:rsidR="002039ED" w:rsidRPr="00455CCD" w:rsidRDefault="002039ED" w:rsidP="001E664D">
      <w:pPr>
        <w:pStyle w:val="fp-2"/>
        <w:rPr>
          <w:sz w:val="20"/>
          <w:szCs w:val="20"/>
        </w:rPr>
      </w:pPr>
      <w:r w:rsidRPr="00455CCD">
        <w:rPr>
          <w:sz w:val="20"/>
          <w:szCs w:val="20"/>
        </w:rPr>
        <w:t>PV</w:t>
      </w:r>
      <w:r w:rsidRPr="00455CCD">
        <w:rPr>
          <w:sz w:val="20"/>
          <w:szCs w:val="20"/>
          <w:vertAlign w:val="subscript"/>
        </w:rPr>
        <w:t>u</w:t>
      </w:r>
      <w:r w:rsidRPr="00455CCD">
        <w:rPr>
          <w:sz w:val="20"/>
          <w:szCs w:val="20"/>
        </w:rPr>
        <w:t xml:space="preserve"> = The MACT model point value for the neat (unfilled) resin, before filler is added, as calculated using the formulas in Table 3 to this subpart.</w:t>
      </w:r>
    </w:p>
    <w:p w:rsidR="002039ED" w:rsidRPr="00455CCD" w:rsidRDefault="002039ED" w:rsidP="001E664D">
      <w:pPr>
        <w:pStyle w:val="fp-2"/>
        <w:rPr>
          <w:sz w:val="20"/>
          <w:szCs w:val="20"/>
        </w:rPr>
      </w:pPr>
      <w:r w:rsidRPr="00455CCD">
        <w:rPr>
          <w:sz w:val="20"/>
          <w:szCs w:val="20"/>
        </w:rPr>
        <w:t>% Filler =The weight-percent of filler in the as-applied filled resin system.</w:t>
      </w:r>
    </w:p>
    <w:p w:rsidR="002039ED" w:rsidRPr="00455CCD" w:rsidRDefault="002039ED" w:rsidP="001E664D">
      <w:pPr>
        <w:pStyle w:val="NormalWeb"/>
        <w:rPr>
          <w:sz w:val="20"/>
          <w:szCs w:val="20"/>
        </w:rPr>
      </w:pPr>
      <w:r w:rsidRPr="00455CCD">
        <w:rPr>
          <w:sz w:val="20"/>
          <w:szCs w:val="20"/>
        </w:rPr>
        <w:t>(b) If the filled resin is used as a production resin and the value of PV</w:t>
      </w:r>
      <w:r w:rsidRPr="00455CCD">
        <w:rPr>
          <w:sz w:val="20"/>
          <w:szCs w:val="20"/>
          <w:vertAlign w:val="subscript"/>
        </w:rPr>
        <w:t>F</w:t>
      </w:r>
      <w:r w:rsidRPr="00455CCD">
        <w:rPr>
          <w:sz w:val="20"/>
          <w:szCs w:val="20"/>
        </w:rPr>
        <w:t xml:space="preserve"> calculated by equation 1 of this section does not exceed 46 kilograms of organic HAP per megagram of filled resin applied, then the filled resin is in compliance.</w:t>
      </w:r>
    </w:p>
    <w:p w:rsidR="002039ED" w:rsidRPr="00455CCD" w:rsidRDefault="002039ED" w:rsidP="001E664D">
      <w:pPr>
        <w:pStyle w:val="NormalWeb"/>
        <w:rPr>
          <w:sz w:val="20"/>
          <w:szCs w:val="20"/>
        </w:rPr>
      </w:pPr>
      <w:r w:rsidRPr="00455CCD">
        <w:rPr>
          <w:sz w:val="20"/>
          <w:szCs w:val="20"/>
        </w:rPr>
        <w:t>(c) If the filled resin is used as a tooling resin and the value of PV</w:t>
      </w:r>
      <w:r w:rsidRPr="00455CCD">
        <w:rPr>
          <w:sz w:val="20"/>
          <w:szCs w:val="20"/>
          <w:vertAlign w:val="subscript"/>
        </w:rPr>
        <w:t>F</w:t>
      </w:r>
      <w:r w:rsidRPr="00455CCD">
        <w:rPr>
          <w:sz w:val="20"/>
          <w:szCs w:val="20"/>
        </w:rPr>
        <w:t xml:space="preserve"> calculated by equation 1 of this section does not exceed 54 kilograms of organic HAP per megagram of filled resin applied, then the filled resin is in compliance.</w:t>
      </w:r>
    </w:p>
    <w:p w:rsidR="002039ED" w:rsidRPr="00455CCD" w:rsidRDefault="002039ED" w:rsidP="001E664D">
      <w:pPr>
        <w:pStyle w:val="NormalWeb"/>
        <w:rPr>
          <w:sz w:val="20"/>
          <w:szCs w:val="20"/>
        </w:rPr>
      </w:pPr>
      <w:r w:rsidRPr="00455CCD">
        <w:rPr>
          <w:sz w:val="20"/>
          <w:szCs w:val="20"/>
        </w:rPr>
        <w:t>(d) If you are including a filled resin in the emissions averaging procedure described in § 63.5710, then use the value of PV</w:t>
      </w:r>
      <w:r w:rsidRPr="00455CCD">
        <w:rPr>
          <w:sz w:val="20"/>
          <w:szCs w:val="20"/>
          <w:vertAlign w:val="subscript"/>
        </w:rPr>
        <w:t>F</w:t>
      </w:r>
      <w:r w:rsidRPr="00455CCD">
        <w:rPr>
          <w:sz w:val="20"/>
          <w:szCs w:val="20"/>
        </w:rPr>
        <w:t xml:space="preserve"> calculated using equation 1 of this section for the value of PV i in equation 2 of § 63.5710.</w:t>
      </w:r>
    </w:p>
    <w:p w:rsidR="002039ED" w:rsidRPr="00455CCD" w:rsidRDefault="002039ED" w:rsidP="001E664D">
      <w:pPr>
        <w:pStyle w:val="Heading2"/>
        <w:rPr>
          <w:rFonts w:ascii="Times New Roman" w:hAnsi="Times New Roman" w:cs="Times New Roman"/>
          <w:color w:val="auto"/>
          <w:sz w:val="20"/>
          <w:szCs w:val="20"/>
        </w:rPr>
      </w:pPr>
      <w:bookmarkStart w:id="16" w:name="40:13.0.1.1.1.28.361"/>
      <w:bookmarkEnd w:id="16"/>
      <w:r w:rsidRPr="00455CCD">
        <w:rPr>
          <w:rFonts w:ascii="Times New Roman" w:hAnsi="Times New Roman" w:cs="Times New Roman"/>
          <w:color w:val="auto"/>
          <w:sz w:val="20"/>
          <w:szCs w:val="20"/>
        </w:rPr>
        <w:t>Demonstrating Compliance for Open Molding Operations Controlled by Add-On Control Devices</w:t>
      </w:r>
    </w:p>
    <w:p w:rsidR="002039ED" w:rsidRPr="00455CCD" w:rsidRDefault="002039ED" w:rsidP="001E664D">
      <w:pPr>
        <w:pStyle w:val="Heading2"/>
        <w:rPr>
          <w:rFonts w:ascii="Times New Roman" w:hAnsi="Times New Roman" w:cs="Times New Roman"/>
          <w:color w:val="auto"/>
          <w:sz w:val="20"/>
          <w:szCs w:val="20"/>
        </w:rPr>
      </w:pPr>
      <w:bookmarkStart w:id="17" w:name="40:13.0.1.1.1.28.361.14"/>
      <w:bookmarkEnd w:id="17"/>
      <w:r w:rsidRPr="00455CCD">
        <w:rPr>
          <w:rFonts w:ascii="Times New Roman" w:hAnsi="Times New Roman" w:cs="Times New Roman"/>
          <w:color w:val="auto"/>
          <w:sz w:val="20"/>
          <w:szCs w:val="20"/>
        </w:rPr>
        <w:t>§ 63.5715   What operating limits must I meet?</w:t>
      </w:r>
    </w:p>
    <w:p w:rsidR="002039ED" w:rsidRPr="00455CCD" w:rsidRDefault="002039ED" w:rsidP="001E664D">
      <w:pPr>
        <w:pStyle w:val="NormalWeb"/>
        <w:rPr>
          <w:sz w:val="20"/>
          <w:szCs w:val="20"/>
        </w:rPr>
      </w:pPr>
      <w:r w:rsidRPr="00455CCD">
        <w:rPr>
          <w:sz w:val="20"/>
          <w:szCs w:val="20"/>
        </w:rPr>
        <w:t>(a) 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 63.5725. You must meet the operating limits at all times after you establish them.</w:t>
      </w:r>
    </w:p>
    <w:p w:rsidR="002039ED" w:rsidRPr="00455CCD" w:rsidRDefault="002039ED" w:rsidP="001E664D">
      <w:pPr>
        <w:pStyle w:val="NormalWeb"/>
        <w:rPr>
          <w:sz w:val="20"/>
          <w:szCs w:val="20"/>
        </w:rPr>
      </w:pPr>
      <w:r w:rsidRPr="00455CCD">
        <w:rPr>
          <w:sz w:val="20"/>
          <w:szCs w:val="20"/>
        </w:rPr>
        <w:t>(b) If you use an add-on control device other than a thermal oxidizer, or wish to monitor an alternative parameter and comply with a different operating limit, you must apply to the Administrator for approval of alternative monitoring under § 63.8(f).</w:t>
      </w:r>
    </w:p>
    <w:p w:rsidR="002039ED" w:rsidRPr="00455CCD" w:rsidRDefault="002039ED" w:rsidP="001E664D">
      <w:pPr>
        <w:pStyle w:val="Heading2"/>
        <w:rPr>
          <w:rFonts w:ascii="Times New Roman" w:hAnsi="Times New Roman" w:cs="Times New Roman"/>
          <w:color w:val="auto"/>
          <w:sz w:val="20"/>
          <w:szCs w:val="20"/>
        </w:rPr>
      </w:pPr>
      <w:bookmarkStart w:id="18" w:name="40:13.0.1.1.1.28.361.15"/>
      <w:bookmarkEnd w:id="18"/>
      <w:r w:rsidRPr="00455CCD">
        <w:rPr>
          <w:rFonts w:ascii="Times New Roman" w:hAnsi="Times New Roman" w:cs="Times New Roman"/>
          <w:color w:val="auto"/>
          <w:sz w:val="20"/>
          <w:szCs w:val="20"/>
        </w:rPr>
        <w:t>§ 63.5716   When must I conduct a performance test?</w:t>
      </w:r>
    </w:p>
    <w:p w:rsidR="002039ED" w:rsidRPr="00455CCD" w:rsidRDefault="002039ED" w:rsidP="001E664D">
      <w:pPr>
        <w:pStyle w:val="NormalWeb"/>
        <w:rPr>
          <w:sz w:val="20"/>
          <w:szCs w:val="20"/>
        </w:rPr>
      </w:pPr>
      <w:r w:rsidRPr="00455CCD">
        <w:rPr>
          <w:sz w:val="20"/>
          <w:szCs w:val="20"/>
        </w:rPr>
        <w:t>(a) If your source is an existing source, you must complete the add-on control device performance test no later than the compliance date specified in § 63.5695.</w:t>
      </w:r>
    </w:p>
    <w:p w:rsidR="002039ED" w:rsidRPr="00455CCD" w:rsidRDefault="002039ED" w:rsidP="001E664D">
      <w:pPr>
        <w:pStyle w:val="NormalWeb"/>
        <w:rPr>
          <w:sz w:val="20"/>
          <w:szCs w:val="20"/>
        </w:rPr>
      </w:pPr>
      <w:r w:rsidRPr="00455CCD">
        <w:rPr>
          <w:sz w:val="20"/>
          <w:szCs w:val="20"/>
        </w:rPr>
        <w:t>(b) If your source is a new source, you must complete the add-on control device performance test no later than 180 days after the compliance date specified in § 63.5695.</w:t>
      </w:r>
    </w:p>
    <w:p w:rsidR="002039ED" w:rsidRPr="00455CCD" w:rsidRDefault="002039ED" w:rsidP="001E664D">
      <w:pPr>
        <w:pStyle w:val="NormalWeb"/>
        <w:rPr>
          <w:sz w:val="20"/>
          <w:szCs w:val="20"/>
        </w:rPr>
      </w:pPr>
      <w:r w:rsidRPr="00455CCD">
        <w:rPr>
          <w:sz w:val="20"/>
          <w:szCs w:val="20"/>
        </w:rPr>
        <w:t>(c) You must conduct a performance test every 5 years as part of renewing your 40 CFR part 70 or 71 operating permit.</w:t>
      </w:r>
    </w:p>
    <w:p w:rsidR="002039ED" w:rsidRPr="00455CCD" w:rsidRDefault="002039ED" w:rsidP="001E664D">
      <w:pPr>
        <w:pStyle w:val="Heading2"/>
        <w:rPr>
          <w:rFonts w:ascii="Times New Roman" w:hAnsi="Times New Roman" w:cs="Times New Roman"/>
          <w:color w:val="auto"/>
          <w:sz w:val="20"/>
          <w:szCs w:val="20"/>
        </w:rPr>
      </w:pPr>
      <w:bookmarkStart w:id="19" w:name="40:13.0.1.1.1.28.361.16"/>
      <w:bookmarkEnd w:id="19"/>
      <w:r w:rsidRPr="00455CCD">
        <w:rPr>
          <w:rFonts w:ascii="Times New Roman" w:hAnsi="Times New Roman" w:cs="Times New Roman"/>
          <w:color w:val="auto"/>
          <w:sz w:val="20"/>
          <w:szCs w:val="20"/>
        </w:rPr>
        <w:t>§ 63.5719   How do I conduct a performance test?</w:t>
      </w:r>
    </w:p>
    <w:p w:rsidR="002039ED" w:rsidRPr="00455CCD" w:rsidRDefault="002039ED" w:rsidP="001E664D">
      <w:pPr>
        <w:pStyle w:val="NormalWeb"/>
        <w:rPr>
          <w:sz w:val="20"/>
          <w:szCs w:val="20"/>
        </w:rPr>
      </w:pPr>
      <w:r w:rsidRPr="00455CCD">
        <w:rPr>
          <w:sz w:val="20"/>
          <w:szCs w:val="20"/>
        </w:rPr>
        <w:t>(a) You must capture the emissions using a permanent enclosure (such as a spray booth or similar containment device) and direct the captured emissions to the add-on control device.</w:t>
      </w:r>
    </w:p>
    <w:p w:rsidR="002039ED" w:rsidRPr="00455CCD" w:rsidRDefault="002039ED" w:rsidP="001E664D">
      <w:pPr>
        <w:pStyle w:val="NormalWeb"/>
        <w:rPr>
          <w:sz w:val="20"/>
          <w:szCs w:val="20"/>
        </w:rPr>
      </w:pPr>
      <w:r w:rsidRPr="00455CCD">
        <w:rPr>
          <w:sz w:val="20"/>
          <w:szCs w:val="20"/>
        </w:rPr>
        <w:t>(b) You must measure emissions as specified in paragraph (b)(1) or (2) of this section.</w:t>
      </w:r>
    </w:p>
    <w:p w:rsidR="002039ED" w:rsidRPr="00455CCD" w:rsidRDefault="002039ED" w:rsidP="001E664D">
      <w:pPr>
        <w:pStyle w:val="NormalWeb"/>
        <w:rPr>
          <w:sz w:val="20"/>
          <w:szCs w:val="20"/>
        </w:rPr>
      </w:pPr>
      <w:r w:rsidRPr="00455CCD">
        <w:rPr>
          <w:sz w:val="20"/>
          <w:szCs w:val="20"/>
        </w:rPr>
        <w:t>(1) If the enclosure vented to the control device is a permanent total enclosure as defined in Method 204 of appendix M to 40 CFR part 51, then you may measure emissions only at the outlet of the control device.</w:t>
      </w:r>
    </w:p>
    <w:p w:rsidR="002039ED" w:rsidRPr="00455CCD" w:rsidRDefault="002039ED" w:rsidP="001E664D">
      <w:pPr>
        <w:pStyle w:val="NormalWeb"/>
        <w:rPr>
          <w:sz w:val="20"/>
          <w:szCs w:val="20"/>
        </w:rPr>
      </w:pPr>
      <w:r w:rsidRPr="00455CCD">
        <w:rPr>
          <w:sz w:val="20"/>
          <w:szCs w:val="20"/>
        </w:rPr>
        <w:lastRenderedPageBreak/>
        <w:t>(2) 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rsidR="002039ED" w:rsidRPr="00455CCD" w:rsidRDefault="002039ED" w:rsidP="001E664D">
      <w:pPr>
        <w:pStyle w:val="NormalWeb"/>
        <w:rPr>
          <w:sz w:val="20"/>
          <w:szCs w:val="20"/>
        </w:rPr>
      </w:pPr>
      <w:r w:rsidRPr="00455CCD">
        <w:rPr>
          <w:sz w:val="20"/>
          <w:szCs w:val="20"/>
        </w:rPr>
        <w:t>(c) You must conduct the control device performance test using the emission measurement methods specified in paragraphs (c)(1) through (4) of this section.</w:t>
      </w:r>
    </w:p>
    <w:p w:rsidR="002039ED" w:rsidRPr="00455CCD" w:rsidRDefault="002039ED" w:rsidP="001E664D">
      <w:pPr>
        <w:pStyle w:val="NormalWeb"/>
        <w:rPr>
          <w:sz w:val="20"/>
          <w:szCs w:val="20"/>
        </w:rPr>
      </w:pPr>
      <w:r w:rsidRPr="00455CCD">
        <w:rPr>
          <w:sz w:val="20"/>
          <w:szCs w:val="20"/>
        </w:rPr>
        <w:t>(1) Use either Method 1 or 1A of appendix A to 40 CFR part 60, as appropriate, to select the sampling sites.</w:t>
      </w:r>
    </w:p>
    <w:p w:rsidR="002039ED" w:rsidRPr="00455CCD" w:rsidRDefault="002039ED" w:rsidP="001E664D">
      <w:pPr>
        <w:pStyle w:val="NormalWeb"/>
        <w:rPr>
          <w:sz w:val="20"/>
          <w:szCs w:val="20"/>
        </w:rPr>
      </w:pPr>
      <w:r w:rsidRPr="00455CCD">
        <w:rPr>
          <w:sz w:val="20"/>
          <w:szCs w:val="20"/>
        </w:rPr>
        <w:t>(2) Use Method 2, 2A, 2C, 2D, 2F or 2G of appendix A to 40 CFR part 60, as appropriate, to measure gas volumetric flow rate.</w:t>
      </w:r>
    </w:p>
    <w:p w:rsidR="002039ED" w:rsidRPr="00455CCD" w:rsidRDefault="002039ED" w:rsidP="001E664D">
      <w:pPr>
        <w:pStyle w:val="NormalWeb"/>
        <w:rPr>
          <w:sz w:val="20"/>
          <w:szCs w:val="20"/>
        </w:rPr>
      </w:pPr>
      <w:r w:rsidRPr="00455CCD">
        <w:rPr>
          <w:sz w:val="20"/>
          <w:szCs w:val="20"/>
        </w:rPr>
        <w:t>(3) 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rsidR="002039ED" w:rsidRPr="00455CCD" w:rsidRDefault="002039ED" w:rsidP="001E664D">
      <w:pPr>
        <w:pStyle w:val="NormalWeb"/>
        <w:rPr>
          <w:sz w:val="20"/>
          <w:szCs w:val="20"/>
        </w:rPr>
      </w:pPr>
      <w:r w:rsidRPr="00455CCD">
        <w:rPr>
          <w:sz w:val="20"/>
          <w:szCs w:val="20"/>
        </w:rPr>
        <w:t>(4) You may use American Society for Testing and Materials (ASTM) D6420-99 (available for purchase from at least one of the following addresses: 100 Barr Harbor Drive, West Conshohocken, PA 19428-2959; or University Microfilms International, 300 North Zeeb Road, Ann Arbor, MI 48106.) in lieu of Method 18 of 40 CFR part 60, appendix A, under the conditions specified in paragraphs (c)(4)(i) through (iii) of this section.</w:t>
      </w:r>
    </w:p>
    <w:p w:rsidR="002039ED" w:rsidRPr="00455CCD" w:rsidRDefault="002039ED" w:rsidP="001E664D">
      <w:pPr>
        <w:pStyle w:val="NormalWeb"/>
        <w:rPr>
          <w:sz w:val="20"/>
          <w:szCs w:val="20"/>
        </w:rPr>
      </w:pPr>
      <w:r w:rsidRPr="00455CCD">
        <w:rPr>
          <w:sz w:val="20"/>
          <w:szCs w:val="20"/>
        </w:rPr>
        <w:t>(i) If the target compound(s) is listed in Section 1.1 of ASTM D6420-99 and the target concentration is between 150 parts per billion by volume and 100 parts per million by volume.</w:t>
      </w:r>
    </w:p>
    <w:p w:rsidR="002039ED" w:rsidRPr="00455CCD" w:rsidRDefault="002039ED" w:rsidP="001E664D">
      <w:pPr>
        <w:pStyle w:val="NormalWeb"/>
        <w:rPr>
          <w:sz w:val="20"/>
          <w:szCs w:val="20"/>
        </w:rPr>
      </w:pPr>
      <w:r w:rsidRPr="00455CCD">
        <w:rPr>
          <w:sz w:val="20"/>
          <w:szCs w:val="20"/>
        </w:rPr>
        <w:t>(ii) 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rsidR="002039ED" w:rsidRPr="00455CCD" w:rsidRDefault="002039ED" w:rsidP="001E664D">
      <w:pPr>
        <w:pStyle w:val="NormalWeb"/>
        <w:rPr>
          <w:sz w:val="20"/>
          <w:szCs w:val="20"/>
        </w:rPr>
      </w:pPr>
      <w:r w:rsidRPr="00455CCD">
        <w:rPr>
          <w:sz w:val="20"/>
          <w:szCs w:val="20"/>
        </w:rPr>
        <w:t>(iii) If a minimum of one sample/analysis cycle is completed at least every 15 minutes.</w:t>
      </w:r>
    </w:p>
    <w:p w:rsidR="002039ED" w:rsidRPr="00455CCD" w:rsidRDefault="002039ED" w:rsidP="001E664D">
      <w:pPr>
        <w:pStyle w:val="NormalWeb"/>
        <w:rPr>
          <w:sz w:val="20"/>
          <w:szCs w:val="20"/>
        </w:rPr>
      </w:pPr>
      <w:r w:rsidRPr="00455CCD">
        <w:rPr>
          <w:sz w:val="20"/>
          <w:szCs w:val="20"/>
        </w:rPr>
        <w:t>(d) 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rsidR="002039ED" w:rsidRPr="00455CCD" w:rsidRDefault="002039ED" w:rsidP="001E664D">
      <w:pPr>
        <w:pStyle w:val="NormalWeb"/>
        <w:rPr>
          <w:sz w:val="20"/>
          <w:szCs w:val="20"/>
        </w:rPr>
      </w:pPr>
      <w:r w:rsidRPr="00455CCD">
        <w:rPr>
          <w:sz w:val="20"/>
          <w:szCs w:val="20"/>
        </w:rPr>
        <w:t>(e) During the test, you must also monitor and record separately the amounts of production resin, tooling resin, pigmented gel coat, clear gel coat, and tooling gel coat applied inside the enclosure that is vented to the control device.</w:t>
      </w:r>
    </w:p>
    <w:p w:rsidR="002039ED" w:rsidRPr="00455CCD" w:rsidRDefault="002039ED" w:rsidP="001E664D">
      <w:pPr>
        <w:pStyle w:val="Heading2"/>
        <w:rPr>
          <w:rFonts w:ascii="Times New Roman" w:hAnsi="Times New Roman" w:cs="Times New Roman"/>
          <w:color w:val="auto"/>
          <w:sz w:val="20"/>
          <w:szCs w:val="20"/>
        </w:rPr>
      </w:pPr>
      <w:bookmarkStart w:id="20" w:name="40:13.0.1.1.1.28.361.17"/>
      <w:bookmarkEnd w:id="20"/>
      <w:r w:rsidRPr="00455CCD">
        <w:rPr>
          <w:rFonts w:ascii="Times New Roman" w:hAnsi="Times New Roman" w:cs="Times New Roman"/>
          <w:color w:val="auto"/>
          <w:sz w:val="20"/>
          <w:szCs w:val="20"/>
        </w:rPr>
        <w:t>§ 63.5722   How do I use the performance test data to demonstrate initial compliance?</w:t>
      </w:r>
    </w:p>
    <w:p w:rsidR="002039ED" w:rsidRPr="00455CCD" w:rsidRDefault="002039ED" w:rsidP="001E664D">
      <w:pPr>
        <w:pStyle w:val="NormalWeb"/>
        <w:rPr>
          <w:sz w:val="20"/>
          <w:szCs w:val="20"/>
        </w:rPr>
      </w:pPr>
      <w:r w:rsidRPr="00455CCD">
        <w:rPr>
          <w:sz w:val="20"/>
          <w:szCs w:val="20"/>
        </w:rPr>
        <w:t>Demonstrate initial compliance with the open molding emission limit as described in paragraphs (a) through (c) of this section:</w:t>
      </w:r>
    </w:p>
    <w:p w:rsidR="002039ED" w:rsidRPr="00455CCD" w:rsidRDefault="002039ED" w:rsidP="001E664D">
      <w:pPr>
        <w:pStyle w:val="NormalWeb"/>
        <w:rPr>
          <w:sz w:val="20"/>
          <w:szCs w:val="20"/>
        </w:rPr>
      </w:pPr>
      <w:r w:rsidRPr="00455CCD">
        <w:rPr>
          <w:sz w:val="20"/>
          <w:szCs w:val="20"/>
        </w:rPr>
        <w:t>(a) Calculate the organic HAP limit you must achieve using equation 1 of § 63.5698. For determining initial compliance, the organic HAP limit is based on the amount of material used during the performance test, in megagrams, rather than during the past 12 months. Calculate the limit using the megagrams of resin and gel coat applied inside the enclosure during the three runs of the performance test and equation 1 of § 63.5698.</w:t>
      </w:r>
    </w:p>
    <w:p w:rsidR="002039ED" w:rsidRPr="00455CCD" w:rsidRDefault="002039ED" w:rsidP="001E664D">
      <w:pPr>
        <w:pStyle w:val="NormalWeb"/>
        <w:rPr>
          <w:sz w:val="20"/>
          <w:szCs w:val="20"/>
        </w:rPr>
      </w:pPr>
      <w:r w:rsidRPr="00455CCD">
        <w:rPr>
          <w:sz w:val="20"/>
          <w:szCs w:val="20"/>
        </w:rPr>
        <w:lastRenderedPageBreak/>
        <w:t>(b) Add the total measured emissions, in kilograms, from all three of the 1-hour runs of the performance test.</w:t>
      </w:r>
    </w:p>
    <w:p w:rsidR="002039ED" w:rsidRPr="00455CCD" w:rsidRDefault="002039ED" w:rsidP="001E664D">
      <w:pPr>
        <w:pStyle w:val="NormalWeb"/>
        <w:rPr>
          <w:sz w:val="20"/>
          <w:szCs w:val="20"/>
        </w:rPr>
      </w:pPr>
      <w:r w:rsidRPr="00455CCD">
        <w:rPr>
          <w:sz w:val="20"/>
          <w:szCs w:val="20"/>
        </w:rPr>
        <w:t>(c) If the total emissions from the three 1-hour runs of the performance test are less than the organic HAP limit calculated in paragraph (a) of this section, then you have demonstrated initial compliance with the emission limit in § 63.5698 for those operations performed in the enclosure and controlled by the add-on control device.</w:t>
      </w:r>
    </w:p>
    <w:p w:rsidR="002039ED" w:rsidRPr="00455CCD" w:rsidRDefault="002039ED" w:rsidP="001E664D">
      <w:pPr>
        <w:pStyle w:val="Heading2"/>
        <w:rPr>
          <w:rFonts w:ascii="Times New Roman" w:hAnsi="Times New Roman" w:cs="Times New Roman"/>
          <w:color w:val="auto"/>
          <w:sz w:val="20"/>
          <w:szCs w:val="20"/>
        </w:rPr>
      </w:pPr>
      <w:bookmarkStart w:id="21" w:name="40:13.0.1.1.1.28.361.18"/>
      <w:bookmarkEnd w:id="21"/>
      <w:r w:rsidRPr="00455CCD">
        <w:rPr>
          <w:rFonts w:ascii="Times New Roman" w:hAnsi="Times New Roman" w:cs="Times New Roman"/>
          <w:color w:val="auto"/>
          <w:sz w:val="20"/>
          <w:szCs w:val="20"/>
        </w:rPr>
        <w:t>§ 63.5725   What are the requirements for monitoring and demonstrating continuous compliance?</w:t>
      </w:r>
    </w:p>
    <w:p w:rsidR="002039ED" w:rsidRPr="00455CCD" w:rsidRDefault="002039ED" w:rsidP="001E664D">
      <w:pPr>
        <w:pStyle w:val="NormalWeb"/>
        <w:rPr>
          <w:sz w:val="20"/>
          <w:szCs w:val="20"/>
        </w:rPr>
      </w:pPr>
      <w:r w:rsidRPr="00455CCD">
        <w:rPr>
          <w:sz w:val="20"/>
          <w:szCs w:val="20"/>
        </w:rPr>
        <w:t>(a) You must establish control device parameters that indicate proper operation of the control device.</w:t>
      </w:r>
    </w:p>
    <w:p w:rsidR="002039ED" w:rsidRPr="00455CCD" w:rsidRDefault="002039ED" w:rsidP="001E664D">
      <w:pPr>
        <w:pStyle w:val="NormalWeb"/>
        <w:rPr>
          <w:sz w:val="20"/>
          <w:szCs w:val="20"/>
        </w:rPr>
      </w:pPr>
      <w:r w:rsidRPr="00455CCD">
        <w:rPr>
          <w:sz w:val="20"/>
          <w:szCs w:val="20"/>
        </w:rPr>
        <w:t>(b) You must install, operate, and maintain a continuous parameter monitoring system as specified in paragraphs (b)(1) through (8) of this section.</w:t>
      </w:r>
    </w:p>
    <w:p w:rsidR="002039ED" w:rsidRPr="00455CCD" w:rsidRDefault="002039ED" w:rsidP="001E664D">
      <w:pPr>
        <w:pStyle w:val="NormalWeb"/>
        <w:rPr>
          <w:sz w:val="20"/>
          <w:szCs w:val="20"/>
        </w:rPr>
      </w:pPr>
      <w:r w:rsidRPr="00455CCD">
        <w:rPr>
          <w:sz w:val="20"/>
          <w:szCs w:val="20"/>
        </w:rPr>
        <w:t>(1) The continuous parameter monitoring system must complete a minimum of one cycle of operation for each successive 15-minute period. You must have a minimum of four successive cycles of operation to have a valid hour of data.</w:t>
      </w:r>
    </w:p>
    <w:p w:rsidR="002039ED" w:rsidRPr="00455CCD" w:rsidRDefault="002039ED" w:rsidP="001E664D">
      <w:pPr>
        <w:pStyle w:val="NormalWeb"/>
        <w:rPr>
          <w:sz w:val="20"/>
          <w:szCs w:val="20"/>
        </w:rPr>
      </w:pPr>
      <w:r w:rsidRPr="00455CCD">
        <w:rPr>
          <w:sz w:val="20"/>
          <w:szCs w:val="20"/>
        </w:rPr>
        <w:t>(2) You must have valid data from at least 90 percent of the hours during which the process operated.</w:t>
      </w:r>
    </w:p>
    <w:p w:rsidR="002039ED" w:rsidRPr="00455CCD" w:rsidRDefault="002039ED" w:rsidP="001E664D">
      <w:pPr>
        <w:pStyle w:val="NormalWeb"/>
        <w:rPr>
          <w:sz w:val="20"/>
          <w:szCs w:val="20"/>
        </w:rPr>
      </w:pPr>
      <w:r w:rsidRPr="00455CCD">
        <w:rPr>
          <w:sz w:val="20"/>
          <w:szCs w:val="20"/>
        </w:rPr>
        <w:t>(3) You must determine the average of all recorded readings for each successive 3-hour period of the emission capture system and add-on control device operation.</w:t>
      </w:r>
    </w:p>
    <w:p w:rsidR="002039ED" w:rsidRPr="00455CCD" w:rsidRDefault="002039ED" w:rsidP="001E664D">
      <w:pPr>
        <w:pStyle w:val="NormalWeb"/>
        <w:rPr>
          <w:sz w:val="20"/>
          <w:szCs w:val="20"/>
        </w:rPr>
      </w:pPr>
      <w:r w:rsidRPr="00455CCD">
        <w:rPr>
          <w:sz w:val="20"/>
          <w:szCs w:val="20"/>
        </w:rPr>
        <w:t>(4) You must maintain the continuous parameter monitoring system at all times and have available necessary parts for routine repairs of the monitoring equipment.</w:t>
      </w:r>
    </w:p>
    <w:p w:rsidR="002039ED" w:rsidRPr="00455CCD" w:rsidRDefault="002039ED" w:rsidP="001E664D">
      <w:pPr>
        <w:pStyle w:val="NormalWeb"/>
        <w:rPr>
          <w:sz w:val="20"/>
          <w:szCs w:val="20"/>
        </w:rPr>
      </w:pPr>
      <w:r w:rsidRPr="00455CCD">
        <w:rPr>
          <w:sz w:val="20"/>
          <w:szCs w:val="20"/>
        </w:rPr>
        <w:t>(5) 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rsidR="002039ED" w:rsidRPr="00455CCD" w:rsidRDefault="002039ED" w:rsidP="001E664D">
      <w:pPr>
        <w:pStyle w:val="NormalWeb"/>
        <w:rPr>
          <w:sz w:val="20"/>
          <w:szCs w:val="20"/>
        </w:rPr>
      </w:pPr>
      <w:r w:rsidRPr="00455CCD">
        <w:rPr>
          <w:sz w:val="20"/>
          <w:szCs w:val="20"/>
        </w:rPr>
        <w:t>(6)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rsidR="002039ED" w:rsidRPr="00455CCD" w:rsidRDefault="002039ED" w:rsidP="001E664D">
      <w:pPr>
        <w:pStyle w:val="NormalWeb"/>
        <w:rPr>
          <w:sz w:val="20"/>
          <w:szCs w:val="20"/>
        </w:rPr>
      </w:pPr>
      <w:r w:rsidRPr="00455CCD">
        <w:rPr>
          <w:sz w:val="20"/>
          <w:szCs w:val="20"/>
        </w:rPr>
        <w:t>(7) You must record the results of each inspection, calibration, and validation check.</w:t>
      </w:r>
    </w:p>
    <w:p w:rsidR="002039ED" w:rsidRPr="00455CCD" w:rsidRDefault="002039ED" w:rsidP="001E664D">
      <w:pPr>
        <w:pStyle w:val="NormalWeb"/>
        <w:rPr>
          <w:sz w:val="20"/>
          <w:szCs w:val="20"/>
        </w:rPr>
      </w:pPr>
      <w:r w:rsidRPr="00455CCD">
        <w:rPr>
          <w:sz w:val="20"/>
          <w:szCs w:val="20"/>
        </w:rPr>
        <w:t>(8) Any period for which the monitoring system is out-of-control, as defined in § 63.7(d)(7),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rsidR="002039ED" w:rsidRPr="00455CCD" w:rsidRDefault="002039ED" w:rsidP="001E664D">
      <w:pPr>
        <w:pStyle w:val="NormalWeb"/>
        <w:rPr>
          <w:sz w:val="20"/>
          <w:szCs w:val="20"/>
        </w:rPr>
      </w:pPr>
      <w:r w:rsidRPr="00455CCD">
        <w:rPr>
          <w:sz w:val="20"/>
          <w:szCs w:val="20"/>
        </w:rPr>
        <w:t xml:space="preserve">(c) </w:t>
      </w:r>
      <w:r w:rsidRPr="00455CCD">
        <w:rPr>
          <w:i/>
          <w:iCs/>
          <w:sz w:val="20"/>
          <w:szCs w:val="20"/>
        </w:rPr>
        <w:t>Enclosure bypass line.</w:t>
      </w:r>
      <w:r w:rsidRPr="00455CCD">
        <w:rPr>
          <w:sz w:val="20"/>
          <w:szCs w:val="20"/>
        </w:rPr>
        <w:t xml:space="preserve"> You must meet the requirements of paragraphs (c)(1) and (2) of this section for each emission capture system enclosure that contains bypass lines that could divert emissions away from the add-on control device to the atmosphere.</w:t>
      </w:r>
    </w:p>
    <w:p w:rsidR="002039ED" w:rsidRPr="00455CCD" w:rsidRDefault="002039ED" w:rsidP="001E664D">
      <w:pPr>
        <w:pStyle w:val="NormalWeb"/>
        <w:rPr>
          <w:sz w:val="20"/>
          <w:szCs w:val="20"/>
        </w:rPr>
      </w:pPr>
      <w:r w:rsidRPr="00455CCD">
        <w:rPr>
          <w:sz w:val="20"/>
          <w:szCs w:val="20"/>
        </w:rPr>
        <w:t>(1) You must monitor or secure the valve or closure mechanism controlling the bypass line in a nondiverting position in such a way that the valve or closure mechanism cannot be opened without creating a record that the valve was opened. The method used to monitor or secure the valve or closure mechanism must meet one of the requirements specified in paragraphs (c)(1)(i) through (iv) of this section.</w:t>
      </w:r>
    </w:p>
    <w:p w:rsidR="002039ED" w:rsidRPr="00455CCD" w:rsidRDefault="002039ED" w:rsidP="001E664D">
      <w:pPr>
        <w:pStyle w:val="NormalWeb"/>
        <w:rPr>
          <w:sz w:val="20"/>
          <w:szCs w:val="20"/>
        </w:rPr>
      </w:pPr>
      <w:r w:rsidRPr="00455CCD">
        <w:rPr>
          <w:sz w:val="20"/>
          <w:szCs w:val="20"/>
        </w:rPr>
        <w:t xml:space="preserve">(i) </w:t>
      </w:r>
      <w:r w:rsidRPr="00455CCD">
        <w:rPr>
          <w:i/>
          <w:iCs/>
          <w:sz w:val="20"/>
          <w:szCs w:val="20"/>
        </w:rPr>
        <w:t>Flow control position indicator.</w:t>
      </w:r>
      <w:r w:rsidRPr="00455CCD">
        <w:rPr>
          <w:sz w:val="20"/>
          <w:szCs w:val="20"/>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w:t>
      </w:r>
      <w:r w:rsidRPr="00455CCD">
        <w:rPr>
          <w:sz w:val="20"/>
          <w:szCs w:val="20"/>
        </w:rPr>
        <w:lastRenderedPageBreak/>
        <w:t>indicator must be installed at the entrance to any bypass line that could divert the emissions away from the add-on control device to the atmosphere.</w:t>
      </w:r>
    </w:p>
    <w:p w:rsidR="002039ED" w:rsidRPr="00455CCD" w:rsidRDefault="002039ED" w:rsidP="001E664D">
      <w:pPr>
        <w:pStyle w:val="NormalWeb"/>
        <w:rPr>
          <w:sz w:val="20"/>
          <w:szCs w:val="20"/>
        </w:rPr>
      </w:pPr>
      <w:r w:rsidRPr="00455CCD">
        <w:rPr>
          <w:sz w:val="20"/>
          <w:szCs w:val="20"/>
        </w:rPr>
        <w:t xml:space="preserve">(ii) </w:t>
      </w:r>
      <w:r w:rsidRPr="00455CCD">
        <w:rPr>
          <w:i/>
          <w:iCs/>
          <w:sz w:val="20"/>
          <w:szCs w:val="20"/>
        </w:rPr>
        <w:t>Car-seal or lock-and-key valve closures.</w:t>
      </w:r>
      <w:r w:rsidRPr="00455CCD">
        <w:rPr>
          <w:sz w:val="20"/>
          <w:szCs w:val="20"/>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rsidR="002039ED" w:rsidRPr="00455CCD" w:rsidRDefault="002039ED" w:rsidP="001E664D">
      <w:pPr>
        <w:pStyle w:val="NormalWeb"/>
        <w:rPr>
          <w:sz w:val="20"/>
          <w:szCs w:val="20"/>
        </w:rPr>
      </w:pPr>
      <w:r w:rsidRPr="00455CCD">
        <w:rPr>
          <w:sz w:val="20"/>
          <w:szCs w:val="20"/>
        </w:rPr>
        <w:t xml:space="preserve">(iii) </w:t>
      </w:r>
      <w:r w:rsidRPr="00455CCD">
        <w:rPr>
          <w:i/>
          <w:iCs/>
          <w:sz w:val="20"/>
          <w:szCs w:val="20"/>
        </w:rPr>
        <w:t>Valve closure continuous monitoring.</w:t>
      </w:r>
      <w:r w:rsidRPr="00455CCD">
        <w:rPr>
          <w:sz w:val="20"/>
          <w:szCs w:val="20"/>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w:t>
      </w:r>
    </w:p>
    <w:p w:rsidR="002039ED" w:rsidRPr="00455CCD" w:rsidRDefault="002039ED" w:rsidP="001E664D">
      <w:pPr>
        <w:pStyle w:val="NormalWeb"/>
        <w:rPr>
          <w:sz w:val="20"/>
          <w:szCs w:val="20"/>
        </w:rPr>
      </w:pPr>
      <w:r w:rsidRPr="00455CCD">
        <w:rPr>
          <w:sz w:val="20"/>
          <w:szCs w:val="20"/>
        </w:rPr>
        <w:t xml:space="preserve">(iv) </w:t>
      </w:r>
      <w:r w:rsidRPr="00455CCD">
        <w:rPr>
          <w:i/>
          <w:iCs/>
          <w:sz w:val="20"/>
          <w:szCs w:val="20"/>
        </w:rPr>
        <w:t>Automatic shutdown system.</w:t>
      </w:r>
      <w:r w:rsidRPr="00455CCD">
        <w:rPr>
          <w:sz w:val="20"/>
          <w:szCs w:val="20"/>
        </w:rPr>
        <w:t xml:space="preserve"> 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rsidR="002039ED" w:rsidRPr="00455CCD" w:rsidRDefault="002039ED" w:rsidP="001E664D">
      <w:pPr>
        <w:pStyle w:val="NormalWeb"/>
        <w:rPr>
          <w:sz w:val="20"/>
          <w:szCs w:val="20"/>
        </w:rPr>
      </w:pPr>
      <w:r w:rsidRPr="00455CCD">
        <w:rPr>
          <w:sz w:val="20"/>
          <w:szCs w:val="20"/>
        </w:rPr>
        <w:t>(2) If any bypass line is opened, you must include a description of why the bypass line was opened and the length of time it remained open in the semiannual compliance reports required in § 63.5764(d).</w:t>
      </w:r>
    </w:p>
    <w:p w:rsidR="002039ED" w:rsidRPr="00455CCD" w:rsidRDefault="002039ED" w:rsidP="001E664D">
      <w:pPr>
        <w:pStyle w:val="NormalWeb"/>
        <w:rPr>
          <w:sz w:val="20"/>
          <w:szCs w:val="20"/>
        </w:rPr>
      </w:pPr>
      <w:r w:rsidRPr="00455CCD">
        <w:rPr>
          <w:sz w:val="20"/>
          <w:szCs w:val="20"/>
        </w:rPr>
        <w:t xml:space="preserve">(d) </w:t>
      </w:r>
      <w:r w:rsidRPr="00455CCD">
        <w:rPr>
          <w:i/>
          <w:iCs/>
          <w:sz w:val="20"/>
          <w:szCs w:val="20"/>
        </w:rPr>
        <w:t>Thermal oxidizers.</w:t>
      </w:r>
      <w:r w:rsidRPr="00455CCD">
        <w:rPr>
          <w:sz w:val="20"/>
          <w:szCs w:val="20"/>
        </w:rPr>
        <w:t xml:space="preserve"> If you are using a thermal oxidizer or incinerator as an add-on control device, you must comply with the requirements in paragraphs (d)(1) through (6) of this section.</w:t>
      </w:r>
    </w:p>
    <w:p w:rsidR="002039ED" w:rsidRPr="00455CCD" w:rsidRDefault="002039ED" w:rsidP="001E664D">
      <w:pPr>
        <w:pStyle w:val="NormalWeb"/>
        <w:rPr>
          <w:sz w:val="20"/>
          <w:szCs w:val="20"/>
        </w:rPr>
      </w:pPr>
      <w:r w:rsidRPr="00455CCD">
        <w:rPr>
          <w:sz w:val="20"/>
          <w:szCs w:val="20"/>
        </w:rPr>
        <w:t>(1) You must install a combustion temperature monitoring device in the firebox of the thermal oxidizer or incinerator, or in the duct immediately downstream of the firebox before any substantial heat exchange occurs. You must meet the requirements in paragraphs (b) and (d)(1)(i) through (vii) of this section for each temperature monitoring device.</w:t>
      </w:r>
    </w:p>
    <w:p w:rsidR="002039ED" w:rsidRPr="00455CCD" w:rsidRDefault="002039ED" w:rsidP="001E664D">
      <w:pPr>
        <w:pStyle w:val="NormalWeb"/>
        <w:rPr>
          <w:sz w:val="20"/>
          <w:szCs w:val="20"/>
        </w:rPr>
      </w:pPr>
      <w:r w:rsidRPr="00455CCD">
        <w:rPr>
          <w:sz w:val="20"/>
          <w:szCs w:val="20"/>
        </w:rPr>
        <w:t>(i) Locate the temperature sensor in a position that provides a representative temperature.</w:t>
      </w:r>
    </w:p>
    <w:p w:rsidR="002039ED" w:rsidRPr="00455CCD" w:rsidRDefault="002039ED" w:rsidP="001E664D">
      <w:pPr>
        <w:pStyle w:val="NormalWeb"/>
        <w:rPr>
          <w:sz w:val="20"/>
          <w:szCs w:val="20"/>
        </w:rPr>
      </w:pPr>
      <w:r w:rsidRPr="00455CCD">
        <w:rPr>
          <w:sz w:val="20"/>
          <w:szCs w:val="20"/>
        </w:rPr>
        <w:t>(ii) Use a temperature sensor with a minimum tolerance of 2.2 °C or 0.75 percent of the temperature value, whichever is larger.</w:t>
      </w:r>
    </w:p>
    <w:p w:rsidR="002039ED" w:rsidRPr="00455CCD" w:rsidRDefault="002039ED" w:rsidP="001E664D">
      <w:pPr>
        <w:pStyle w:val="NormalWeb"/>
        <w:rPr>
          <w:sz w:val="20"/>
          <w:szCs w:val="20"/>
        </w:rPr>
      </w:pPr>
      <w:r w:rsidRPr="00455CCD">
        <w:rPr>
          <w:sz w:val="20"/>
          <w:szCs w:val="20"/>
        </w:rPr>
        <w:t>(iii) Shield the temperature sensor system from electromagnetic interference and chemical contaminants.</w:t>
      </w:r>
    </w:p>
    <w:p w:rsidR="002039ED" w:rsidRPr="00455CCD" w:rsidRDefault="002039ED" w:rsidP="001E664D">
      <w:pPr>
        <w:pStyle w:val="NormalWeb"/>
        <w:rPr>
          <w:sz w:val="20"/>
          <w:szCs w:val="20"/>
        </w:rPr>
      </w:pPr>
      <w:r w:rsidRPr="00455CCD">
        <w:rPr>
          <w:sz w:val="20"/>
          <w:szCs w:val="20"/>
        </w:rPr>
        <w:t>(iv) If a chart recorder is used, it must have a sensitivity in the minor division of at least 10 °C.</w:t>
      </w:r>
    </w:p>
    <w:p w:rsidR="002039ED" w:rsidRPr="00455CCD" w:rsidRDefault="002039ED" w:rsidP="001E664D">
      <w:pPr>
        <w:pStyle w:val="NormalWeb"/>
        <w:rPr>
          <w:sz w:val="20"/>
          <w:szCs w:val="20"/>
        </w:rPr>
      </w:pPr>
      <w:r w:rsidRPr="00455CCD">
        <w:rPr>
          <w:sz w:val="20"/>
          <w:szCs w:val="20"/>
        </w:rPr>
        <w:t>(v) Perform an electronic calibration at least semiannually according to the procedures in the manufacturer's owners manual. Following the electronic calibration, you must conduct a temperature sensor validation check in which a second or redundant temperature sensor placed nearby the process temperature sensor must yield a reading within 16.7 °C of the process temperature sensor's reading.</w:t>
      </w:r>
    </w:p>
    <w:p w:rsidR="002039ED" w:rsidRPr="00455CCD" w:rsidRDefault="002039ED" w:rsidP="001E664D">
      <w:pPr>
        <w:pStyle w:val="NormalWeb"/>
        <w:rPr>
          <w:sz w:val="20"/>
          <w:szCs w:val="20"/>
        </w:rPr>
      </w:pPr>
      <w:r w:rsidRPr="00455CCD">
        <w:rPr>
          <w:sz w:val="20"/>
          <w:szCs w:val="20"/>
        </w:rPr>
        <w:t>(vi) Conduct calibration and validation checks any time the sensor exceeds the manufacturer's specified maximum operating temperature range or install a new temperature sensor.</w:t>
      </w:r>
    </w:p>
    <w:p w:rsidR="002039ED" w:rsidRPr="00455CCD" w:rsidRDefault="002039ED" w:rsidP="001E664D">
      <w:pPr>
        <w:pStyle w:val="NormalWeb"/>
        <w:rPr>
          <w:sz w:val="20"/>
          <w:szCs w:val="20"/>
        </w:rPr>
      </w:pPr>
      <w:r w:rsidRPr="00455CCD">
        <w:rPr>
          <w:sz w:val="20"/>
          <w:szCs w:val="20"/>
        </w:rPr>
        <w:t>(vii) At least monthly, inspect all components for integrity and all electrical connections for continuity, oxidation, and galvanic corrosion.</w:t>
      </w:r>
    </w:p>
    <w:p w:rsidR="002039ED" w:rsidRPr="00455CCD" w:rsidRDefault="002039ED" w:rsidP="001E664D">
      <w:pPr>
        <w:pStyle w:val="NormalWeb"/>
        <w:rPr>
          <w:sz w:val="20"/>
          <w:szCs w:val="20"/>
        </w:rPr>
      </w:pPr>
      <w:r w:rsidRPr="00455CCD">
        <w:rPr>
          <w:sz w:val="20"/>
          <w:szCs w:val="20"/>
        </w:rPr>
        <w:t>(2) Before or during the performance test, you must conduct a performance evaluation of the combustion temperature monitoring system according to § 63.8(e). Section 63.8(e) specifies the general requirements for continuous monitoring systems and requirements for notifications, the site-specific performance evaluation plan, conduct of the performance evaluation, and reporting of performance evaluation results.</w:t>
      </w:r>
    </w:p>
    <w:p w:rsidR="002039ED" w:rsidRPr="00455CCD" w:rsidRDefault="002039ED" w:rsidP="001E664D">
      <w:pPr>
        <w:pStyle w:val="NormalWeb"/>
        <w:rPr>
          <w:sz w:val="20"/>
          <w:szCs w:val="20"/>
        </w:rPr>
      </w:pPr>
      <w:r w:rsidRPr="00455CCD">
        <w:rPr>
          <w:sz w:val="20"/>
          <w:szCs w:val="20"/>
        </w:rPr>
        <w:t>(3) During the performance test required by § 63.5716, you must monitor and record the combustion temperature and determine the average combustion temperature for the three 1-hour test runs. This average temperature is the minimum operating limit for the thermal oxidizer.</w:t>
      </w:r>
    </w:p>
    <w:p w:rsidR="002039ED" w:rsidRPr="00455CCD" w:rsidRDefault="002039ED" w:rsidP="001E664D">
      <w:pPr>
        <w:pStyle w:val="NormalWeb"/>
        <w:rPr>
          <w:sz w:val="20"/>
          <w:szCs w:val="20"/>
        </w:rPr>
      </w:pPr>
      <w:r w:rsidRPr="00455CCD">
        <w:rPr>
          <w:sz w:val="20"/>
          <w:szCs w:val="20"/>
        </w:rPr>
        <w:lastRenderedPageBreak/>
        <w:t>(4) Following the performance test, you must continuously monitor the combustion temperature and record the average combustion temperature no less frequently than every 15 minutes.</w:t>
      </w:r>
    </w:p>
    <w:p w:rsidR="002039ED" w:rsidRPr="00455CCD" w:rsidRDefault="002039ED" w:rsidP="001E664D">
      <w:pPr>
        <w:pStyle w:val="NormalWeb"/>
        <w:rPr>
          <w:sz w:val="20"/>
          <w:szCs w:val="20"/>
        </w:rPr>
      </w:pPr>
      <w:r w:rsidRPr="00455CCD">
        <w:rPr>
          <w:sz w:val="20"/>
          <w:szCs w:val="20"/>
        </w:rPr>
        <w:t>(5) You must operate the incinerator or thermal oxidizer so that the average combustion temperature in any 3-hour period does not fall below the average combustion temperature recorded during the performance test.</w:t>
      </w:r>
    </w:p>
    <w:p w:rsidR="002039ED" w:rsidRPr="00455CCD" w:rsidRDefault="002039ED" w:rsidP="001E664D">
      <w:pPr>
        <w:pStyle w:val="NormalWeb"/>
        <w:rPr>
          <w:sz w:val="20"/>
          <w:szCs w:val="20"/>
        </w:rPr>
      </w:pPr>
      <w:r w:rsidRPr="00455CCD">
        <w:rPr>
          <w:sz w:val="20"/>
          <w:szCs w:val="20"/>
        </w:rPr>
        <w:t>(6) If the average combustion temperature in any 3-hour period falls below the average combustion temperature recorded during the performance test, or if you fail to collect the minimum data specified in paragraph (d)(4) of this section, it is a deviation for the operating limit in § 63.5715.</w:t>
      </w:r>
    </w:p>
    <w:p w:rsidR="002039ED" w:rsidRPr="00455CCD" w:rsidRDefault="002039ED" w:rsidP="001E664D">
      <w:pPr>
        <w:pStyle w:val="NormalWeb"/>
        <w:rPr>
          <w:sz w:val="20"/>
          <w:szCs w:val="20"/>
        </w:rPr>
      </w:pPr>
      <w:r w:rsidRPr="00455CCD">
        <w:rPr>
          <w:sz w:val="20"/>
          <w:szCs w:val="20"/>
        </w:rPr>
        <w:t xml:space="preserve">(e) </w:t>
      </w:r>
      <w:r w:rsidRPr="00455CCD">
        <w:rPr>
          <w:i/>
          <w:iCs/>
          <w:sz w:val="20"/>
          <w:szCs w:val="20"/>
        </w:rPr>
        <w:t>Other control devices.</w:t>
      </w:r>
      <w:r w:rsidRPr="00455CCD">
        <w:rPr>
          <w:sz w:val="20"/>
          <w:szCs w:val="20"/>
        </w:rPr>
        <w:t xml:space="preserve"> If you are using a control device other a thermal oxidizer, then you must comply with alternative monitoring requirements and operating limits approved by the Administrator under § 63.8(f).</w:t>
      </w:r>
    </w:p>
    <w:p w:rsidR="002039ED" w:rsidRPr="00455CCD" w:rsidRDefault="002039ED" w:rsidP="001E664D">
      <w:pPr>
        <w:pStyle w:val="NormalWeb"/>
        <w:rPr>
          <w:sz w:val="20"/>
          <w:szCs w:val="20"/>
        </w:rPr>
      </w:pPr>
      <w:r w:rsidRPr="00455CCD">
        <w:rPr>
          <w:sz w:val="20"/>
          <w:szCs w:val="20"/>
        </w:rPr>
        <w:t xml:space="preserve">(f) </w:t>
      </w:r>
      <w:r w:rsidRPr="00455CCD">
        <w:rPr>
          <w:i/>
          <w:iCs/>
          <w:sz w:val="20"/>
          <w:szCs w:val="20"/>
        </w:rPr>
        <w:t>Emission capture system.</w:t>
      </w:r>
      <w:r w:rsidRPr="00455CCD">
        <w:rPr>
          <w:sz w:val="20"/>
          <w:szCs w:val="20"/>
        </w:rPr>
        <w:t xml:space="preserve"> For each enclosure in the emission capture system, you must comply with the requirements in paragraphs (f)(1) through (5) of this section.</w:t>
      </w:r>
    </w:p>
    <w:p w:rsidR="002039ED" w:rsidRPr="00455CCD" w:rsidRDefault="002039ED" w:rsidP="001E664D">
      <w:pPr>
        <w:pStyle w:val="NormalWeb"/>
        <w:rPr>
          <w:sz w:val="20"/>
          <w:szCs w:val="20"/>
        </w:rPr>
      </w:pPr>
      <w:r w:rsidRPr="00455CCD">
        <w:rPr>
          <w:sz w:val="20"/>
          <w:szCs w:val="20"/>
        </w:rPr>
        <w:t>(1) You must install a device to measure and record either the flow rate or the static pressure in the duct from each enclosure to the add-on control device.</w:t>
      </w:r>
    </w:p>
    <w:p w:rsidR="002039ED" w:rsidRPr="00455CCD" w:rsidRDefault="002039ED" w:rsidP="001E664D">
      <w:pPr>
        <w:pStyle w:val="NormalWeb"/>
        <w:rPr>
          <w:sz w:val="20"/>
          <w:szCs w:val="20"/>
        </w:rPr>
      </w:pPr>
      <w:r w:rsidRPr="00455CCD">
        <w:rPr>
          <w:sz w:val="20"/>
          <w:szCs w:val="20"/>
        </w:rPr>
        <w:t>(2) You must install a device to measure and record the pressure drop across at least one opening in each enclosure.</w:t>
      </w:r>
    </w:p>
    <w:p w:rsidR="002039ED" w:rsidRPr="00455CCD" w:rsidRDefault="002039ED" w:rsidP="001E664D">
      <w:pPr>
        <w:pStyle w:val="NormalWeb"/>
        <w:rPr>
          <w:sz w:val="20"/>
          <w:szCs w:val="20"/>
        </w:rPr>
      </w:pPr>
      <w:r w:rsidRPr="00455CCD">
        <w:rPr>
          <w:sz w:val="20"/>
          <w:szCs w:val="20"/>
        </w:rPr>
        <w:t>(3) Each flow measurement device must meet the requirements in paragraphs (b) and (f)(3)(i) through (iv) of this section.</w:t>
      </w:r>
    </w:p>
    <w:p w:rsidR="002039ED" w:rsidRPr="00455CCD" w:rsidRDefault="002039ED" w:rsidP="001E664D">
      <w:pPr>
        <w:pStyle w:val="NormalWeb"/>
        <w:rPr>
          <w:sz w:val="20"/>
          <w:szCs w:val="20"/>
        </w:rPr>
      </w:pPr>
      <w:r w:rsidRPr="00455CCD">
        <w:rPr>
          <w:sz w:val="20"/>
          <w:szCs w:val="20"/>
        </w:rPr>
        <w:t>(i) Locate the flow sensor in a position that provides a representative flow measurement in the duct between each enclosure in the emission capture system and the add-on control device.</w:t>
      </w:r>
    </w:p>
    <w:p w:rsidR="002039ED" w:rsidRPr="00455CCD" w:rsidRDefault="002039ED" w:rsidP="001E664D">
      <w:pPr>
        <w:pStyle w:val="NormalWeb"/>
        <w:rPr>
          <w:sz w:val="20"/>
          <w:szCs w:val="20"/>
        </w:rPr>
      </w:pPr>
      <w:r w:rsidRPr="00455CCD">
        <w:rPr>
          <w:sz w:val="20"/>
          <w:szCs w:val="20"/>
        </w:rPr>
        <w:t>(ii) Reduce swirling flow or abnormal velocity distributions due to upstream and downstream disturbances.</w:t>
      </w:r>
    </w:p>
    <w:p w:rsidR="002039ED" w:rsidRPr="00455CCD" w:rsidRDefault="002039ED" w:rsidP="001E664D">
      <w:pPr>
        <w:pStyle w:val="NormalWeb"/>
        <w:rPr>
          <w:sz w:val="20"/>
          <w:szCs w:val="20"/>
        </w:rPr>
      </w:pPr>
      <w:r w:rsidRPr="00455CCD">
        <w:rPr>
          <w:sz w:val="20"/>
          <w:szCs w:val="20"/>
        </w:rPr>
        <w:t>(iii) Conduct a flow sensor calibration check at least semiannually.</w:t>
      </w:r>
    </w:p>
    <w:p w:rsidR="002039ED" w:rsidRPr="00455CCD" w:rsidRDefault="002039ED" w:rsidP="001E664D">
      <w:pPr>
        <w:pStyle w:val="NormalWeb"/>
        <w:rPr>
          <w:sz w:val="20"/>
          <w:szCs w:val="20"/>
        </w:rPr>
      </w:pPr>
      <w:r w:rsidRPr="00455CCD">
        <w:rPr>
          <w:sz w:val="20"/>
          <w:szCs w:val="20"/>
        </w:rPr>
        <w:t>(iv) At least monthly, inspect all components for integrity, all electrical connections for continuity, and all mechanical connections for leakage.</w:t>
      </w:r>
    </w:p>
    <w:p w:rsidR="002039ED" w:rsidRPr="00455CCD" w:rsidRDefault="002039ED" w:rsidP="001E664D">
      <w:pPr>
        <w:pStyle w:val="NormalWeb"/>
        <w:rPr>
          <w:sz w:val="20"/>
          <w:szCs w:val="20"/>
        </w:rPr>
      </w:pPr>
      <w:r w:rsidRPr="00455CCD">
        <w:rPr>
          <w:sz w:val="20"/>
          <w:szCs w:val="20"/>
        </w:rPr>
        <w:t>(4) For each pressure measurement device, you must comply with the requirements in paragraphs (a) and (f)(4)(i) through (vii) of this section.</w:t>
      </w:r>
    </w:p>
    <w:p w:rsidR="002039ED" w:rsidRPr="00455CCD" w:rsidRDefault="002039ED" w:rsidP="001E664D">
      <w:pPr>
        <w:pStyle w:val="NormalWeb"/>
        <w:rPr>
          <w:sz w:val="20"/>
          <w:szCs w:val="20"/>
        </w:rPr>
      </w:pPr>
      <w:r w:rsidRPr="00455CCD">
        <w:rPr>
          <w:sz w:val="20"/>
          <w:szCs w:val="20"/>
        </w:rPr>
        <w:t>(i) Locate each pressure drop sensor in or as close to a position that provides a representative measurement of the pressure drop across each enclosure opening you are monitoring.</w:t>
      </w:r>
    </w:p>
    <w:p w:rsidR="002039ED" w:rsidRPr="00455CCD" w:rsidRDefault="002039ED" w:rsidP="001E664D">
      <w:pPr>
        <w:pStyle w:val="NormalWeb"/>
        <w:rPr>
          <w:sz w:val="20"/>
          <w:szCs w:val="20"/>
        </w:rPr>
      </w:pPr>
      <w:r w:rsidRPr="00455CCD">
        <w:rPr>
          <w:sz w:val="20"/>
          <w:szCs w:val="20"/>
        </w:rPr>
        <w:t>(ii) Locate each duct static pressure sensor in a position that provides a representative measurement of the static pressure in the duct between the enclosure and control device.</w:t>
      </w:r>
    </w:p>
    <w:p w:rsidR="002039ED" w:rsidRPr="00455CCD" w:rsidRDefault="002039ED" w:rsidP="001E664D">
      <w:pPr>
        <w:pStyle w:val="NormalWeb"/>
        <w:rPr>
          <w:sz w:val="20"/>
          <w:szCs w:val="20"/>
        </w:rPr>
      </w:pPr>
      <w:r w:rsidRPr="00455CCD">
        <w:rPr>
          <w:sz w:val="20"/>
          <w:szCs w:val="20"/>
        </w:rPr>
        <w:t>(iii) Minimize or eliminate pulsating pressure, vibration, and internal and external corrosion.</w:t>
      </w:r>
    </w:p>
    <w:p w:rsidR="002039ED" w:rsidRPr="00455CCD" w:rsidRDefault="002039ED" w:rsidP="001E664D">
      <w:pPr>
        <w:pStyle w:val="NormalWeb"/>
        <w:rPr>
          <w:sz w:val="20"/>
          <w:szCs w:val="20"/>
        </w:rPr>
      </w:pPr>
      <w:r w:rsidRPr="00455CCD">
        <w:rPr>
          <w:sz w:val="20"/>
          <w:szCs w:val="20"/>
        </w:rPr>
        <w:t>(iv) Check the pressure tap for plugging daily.</w:t>
      </w:r>
    </w:p>
    <w:p w:rsidR="002039ED" w:rsidRPr="00455CCD" w:rsidRDefault="002039ED" w:rsidP="001E664D">
      <w:pPr>
        <w:pStyle w:val="NormalWeb"/>
        <w:rPr>
          <w:sz w:val="20"/>
          <w:szCs w:val="20"/>
        </w:rPr>
      </w:pPr>
      <w:r w:rsidRPr="00455CCD">
        <w:rPr>
          <w:sz w:val="20"/>
          <w:szCs w:val="20"/>
        </w:rPr>
        <w:t>(v) Use an inclined manometer with a measurement sensitivity of 0.0004 millimeters mercury (mmHg) to check gauge calibration quarterly and transducer calibration monthly.</w:t>
      </w:r>
    </w:p>
    <w:p w:rsidR="002039ED" w:rsidRPr="00455CCD" w:rsidRDefault="002039ED" w:rsidP="001E664D">
      <w:pPr>
        <w:pStyle w:val="NormalWeb"/>
        <w:rPr>
          <w:sz w:val="20"/>
          <w:szCs w:val="20"/>
        </w:rPr>
      </w:pPr>
      <w:r w:rsidRPr="00455CCD">
        <w:rPr>
          <w:sz w:val="20"/>
          <w:szCs w:val="20"/>
        </w:rPr>
        <w:t>(vi) Conduct calibration checks any time the sensor exceeds the manufacturer's specified maximum operating pressure range or install a new pressure sensor.</w:t>
      </w:r>
    </w:p>
    <w:p w:rsidR="002039ED" w:rsidRPr="00455CCD" w:rsidRDefault="002039ED" w:rsidP="001E664D">
      <w:pPr>
        <w:pStyle w:val="NormalWeb"/>
        <w:rPr>
          <w:sz w:val="20"/>
          <w:szCs w:val="20"/>
        </w:rPr>
      </w:pPr>
      <w:r w:rsidRPr="00455CCD">
        <w:rPr>
          <w:sz w:val="20"/>
          <w:szCs w:val="20"/>
        </w:rPr>
        <w:t>(vii) At least monthly, inspect all components for integrity, all electrical connections for continuity, and all mechanical connections for leakage.</w:t>
      </w:r>
    </w:p>
    <w:p w:rsidR="002039ED" w:rsidRPr="00455CCD" w:rsidRDefault="002039ED" w:rsidP="001E664D">
      <w:pPr>
        <w:pStyle w:val="NormalWeb"/>
        <w:rPr>
          <w:sz w:val="20"/>
          <w:szCs w:val="20"/>
        </w:rPr>
      </w:pPr>
      <w:r w:rsidRPr="00455CCD">
        <w:rPr>
          <w:sz w:val="20"/>
          <w:szCs w:val="20"/>
        </w:rPr>
        <w:lastRenderedPageBreak/>
        <w:t>(5) For each capture device that is not part of a permanent total enclosure as defined in Method 204 in appendix M to 40 CFR part 51, you must establish an operating limit for either the gas volumetric flow rate or duct static pressure, as specified in paragraphs (f)(5)(i) and (ii) of this section. You must also establish an operating limit for pressure drop across at least one opening in each enclosure according to paragraphs (f)(5)(iii) and (iv) of this section. The operating limits for a permanent total enclosure are specified in Table 4 to this subpart.</w:t>
      </w:r>
    </w:p>
    <w:p w:rsidR="002039ED" w:rsidRPr="00455CCD" w:rsidRDefault="002039ED" w:rsidP="001E664D">
      <w:pPr>
        <w:pStyle w:val="NormalWeb"/>
        <w:rPr>
          <w:sz w:val="20"/>
          <w:szCs w:val="20"/>
        </w:rPr>
      </w:pPr>
      <w:r w:rsidRPr="00455CCD">
        <w:rPr>
          <w:sz w:val="20"/>
          <w:szCs w:val="20"/>
        </w:rPr>
        <w:t>(i) During the emission test required by § 63.5716 and described in § 63.5719, you must monitor and record either the gas volumetric flow rate or the duct static pressure for each separate enclosure in your emission capture system at least once every 15 minutes during each of the three test runs at a point in the duct between the enclosure and the add-on control device inlet.</w:t>
      </w:r>
    </w:p>
    <w:p w:rsidR="002039ED" w:rsidRPr="00455CCD" w:rsidRDefault="002039ED" w:rsidP="001E664D">
      <w:pPr>
        <w:pStyle w:val="NormalWeb"/>
        <w:rPr>
          <w:sz w:val="20"/>
          <w:szCs w:val="20"/>
        </w:rPr>
      </w:pPr>
      <w:r w:rsidRPr="00455CCD">
        <w:rPr>
          <w:sz w:val="20"/>
          <w:szCs w:val="20"/>
        </w:rPr>
        <w:t>(ii) 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rsidR="002039ED" w:rsidRPr="00455CCD" w:rsidRDefault="002039ED" w:rsidP="001E664D">
      <w:pPr>
        <w:pStyle w:val="NormalWeb"/>
        <w:rPr>
          <w:sz w:val="20"/>
          <w:szCs w:val="20"/>
        </w:rPr>
      </w:pPr>
      <w:r w:rsidRPr="00455CCD">
        <w:rPr>
          <w:sz w:val="20"/>
          <w:szCs w:val="20"/>
        </w:rPr>
        <w:t>(iii) During the emission test required by § 63.5716 and described in § 63.5719, you must monitor and record the pressure drop across the opening of each enclosure in your emission capture system at least once every 15 minutes during each of the three test runs.</w:t>
      </w:r>
    </w:p>
    <w:p w:rsidR="002039ED" w:rsidRPr="00455CCD" w:rsidRDefault="002039ED" w:rsidP="001E664D">
      <w:pPr>
        <w:pStyle w:val="NormalWeb"/>
        <w:rPr>
          <w:sz w:val="20"/>
          <w:szCs w:val="20"/>
        </w:rPr>
      </w:pPr>
      <w:r w:rsidRPr="00455CCD">
        <w:rPr>
          <w:sz w:val="20"/>
          <w:szCs w:val="20"/>
        </w:rPr>
        <w:t>(iv) Following the emission test, calculate and record the average pressure drop for the three test runs for each enclosure. This average pressure drop is the minimum operating limit for that specific enclosure.</w:t>
      </w:r>
    </w:p>
    <w:p w:rsidR="002039ED" w:rsidRPr="00455CCD" w:rsidRDefault="002039ED" w:rsidP="001E664D">
      <w:pPr>
        <w:pStyle w:val="Heading2"/>
        <w:rPr>
          <w:rFonts w:ascii="Times New Roman" w:hAnsi="Times New Roman" w:cs="Times New Roman"/>
          <w:color w:val="auto"/>
          <w:sz w:val="20"/>
          <w:szCs w:val="20"/>
        </w:rPr>
      </w:pPr>
      <w:bookmarkStart w:id="22" w:name="40:13.0.1.1.1.28.362"/>
      <w:bookmarkEnd w:id="22"/>
      <w:r w:rsidRPr="00455CCD">
        <w:rPr>
          <w:rFonts w:ascii="Times New Roman" w:hAnsi="Times New Roman" w:cs="Times New Roman"/>
          <w:color w:val="auto"/>
          <w:sz w:val="20"/>
          <w:szCs w:val="20"/>
        </w:rPr>
        <w:t>Standards for Closed Molding Resin Operations</w:t>
      </w:r>
    </w:p>
    <w:p w:rsidR="002039ED" w:rsidRPr="00455CCD" w:rsidRDefault="002039ED" w:rsidP="001E664D">
      <w:pPr>
        <w:pStyle w:val="Heading2"/>
        <w:rPr>
          <w:rFonts w:ascii="Times New Roman" w:hAnsi="Times New Roman" w:cs="Times New Roman"/>
          <w:color w:val="auto"/>
          <w:sz w:val="20"/>
          <w:szCs w:val="20"/>
        </w:rPr>
      </w:pPr>
      <w:bookmarkStart w:id="23" w:name="40:13.0.1.1.1.28.362.19"/>
      <w:bookmarkEnd w:id="23"/>
      <w:r w:rsidRPr="00455CCD">
        <w:rPr>
          <w:rFonts w:ascii="Times New Roman" w:hAnsi="Times New Roman" w:cs="Times New Roman"/>
          <w:color w:val="auto"/>
          <w:sz w:val="20"/>
          <w:szCs w:val="20"/>
        </w:rPr>
        <w:t>§ 63.5728   What standards must I meet for closed molding resin operations?</w:t>
      </w:r>
    </w:p>
    <w:p w:rsidR="002039ED" w:rsidRPr="00455CCD" w:rsidRDefault="002039ED" w:rsidP="001E664D">
      <w:pPr>
        <w:pStyle w:val="NormalWeb"/>
        <w:rPr>
          <w:sz w:val="20"/>
          <w:szCs w:val="20"/>
        </w:rPr>
      </w:pPr>
      <w:r w:rsidRPr="00455CCD">
        <w:rPr>
          <w:sz w:val="20"/>
          <w:szCs w:val="20"/>
        </w:rPr>
        <w:t>(a) If a resin application operation meets the definition of closed molding specified in § 63.5779, there is no requirement to reduce emissions from that operation.</w:t>
      </w:r>
    </w:p>
    <w:p w:rsidR="002039ED" w:rsidRPr="00455CCD" w:rsidRDefault="002039ED" w:rsidP="001E664D">
      <w:pPr>
        <w:pStyle w:val="NormalWeb"/>
        <w:rPr>
          <w:sz w:val="20"/>
          <w:szCs w:val="20"/>
        </w:rPr>
      </w:pPr>
      <w:r w:rsidRPr="00455CCD">
        <w:rPr>
          <w:sz w:val="20"/>
          <w:szCs w:val="20"/>
        </w:rPr>
        <w:t>(b) If the resin application operation does not meet the definition of closed molding, then you must comply with the limit for open molding resin operations specified in § 63.5698.</w:t>
      </w:r>
    </w:p>
    <w:p w:rsidR="002039ED" w:rsidRPr="00455CCD" w:rsidRDefault="002039ED" w:rsidP="001E664D">
      <w:pPr>
        <w:pStyle w:val="NormalWeb"/>
        <w:rPr>
          <w:sz w:val="20"/>
          <w:szCs w:val="20"/>
        </w:rPr>
      </w:pPr>
      <w:r w:rsidRPr="00455CCD">
        <w:rPr>
          <w:sz w:val="20"/>
          <w:szCs w:val="20"/>
        </w:rPr>
        <w:t>(c) Open molding resin operations that precede a closed molding operation must comply with the limit for open molding resin and gel coat operations specified in § 63.5698. Examples of these operations include gel coat or skin coat layers that are applied before lamination is performed by closed molding.</w:t>
      </w:r>
    </w:p>
    <w:p w:rsidR="002039ED" w:rsidRPr="00455CCD" w:rsidRDefault="002039ED" w:rsidP="001E664D">
      <w:pPr>
        <w:pStyle w:val="Heading2"/>
        <w:rPr>
          <w:rFonts w:ascii="Times New Roman" w:hAnsi="Times New Roman" w:cs="Times New Roman"/>
          <w:color w:val="auto"/>
          <w:sz w:val="20"/>
          <w:szCs w:val="20"/>
        </w:rPr>
      </w:pPr>
      <w:bookmarkStart w:id="24" w:name="40:13.0.1.1.1.28.363"/>
      <w:bookmarkEnd w:id="24"/>
      <w:r w:rsidRPr="00455CCD">
        <w:rPr>
          <w:rFonts w:ascii="Times New Roman" w:hAnsi="Times New Roman" w:cs="Times New Roman"/>
          <w:color w:val="auto"/>
          <w:sz w:val="20"/>
          <w:szCs w:val="20"/>
        </w:rPr>
        <w:t>Standards for Resin and Gel Coat Mixing Operations</w:t>
      </w:r>
    </w:p>
    <w:p w:rsidR="002039ED" w:rsidRPr="00455CCD" w:rsidRDefault="002039ED" w:rsidP="001E664D">
      <w:pPr>
        <w:pStyle w:val="Heading2"/>
        <w:rPr>
          <w:rFonts w:ascii="Times New Roman" w:hAnsi="Times New Roman" w:cs="Times New Roman"/>
          <w:color w:val="auto"/>
          <w:sz w:val="20"/>
          <w:szCs w:val="20"/>
        </w:rPr>
      </w:pPr>
      <w:bookmarkStart w:id="25" w:name="40:13.0.1.1.1.28.363.20"/>
      <w:bookmarkEnd w:id="25"/>
      <w:r w:rsidRPr="00455CCD">
        <w:rPr>
          <w:rFonts w:ascii="Times New Roman" w:hAnsi="Times New Roman" w:cs="Times New Roman"/>
          <w:color w:val="auto"/>
          <w:sz w:val="20"/>
          <w:szCs w:val="20"/>
        </w:rPr>
        <w:t>§ 63.5731   What standards must I meet for resin and gel coat mixing operations?</w:t>
      </w:r>
    </w:p>
    <w:p w:rsidR="002039ED" w:rsidRPr="00455CCD" w:rsidRDefault="002039ED" w:rsidP="001E664D">
      <w:pPr>
        <w:pStyle w:val="NormalWeb"/>
        <w:rPr>
          <w:sz w:val="20"/>
          <w:szCs w:val="20"/>
        </w:rPr>
      </w:pPr>
      <w:r w:rsidRPr="00455CCD">
        <w:rPr>
          <w:sz w:val="20"/>
          <w:szCs w:val="20"/>
        </w:rPr>
        <w:t>(a) All resin and gel coat mixing containers with a capacity equal to or greater than 208 liters, including those used for on-site mixing of putties and polyputties, must have a cover with no visible gaps in place at all times.</w:t>
      </w:r>
    </w:p>
    <w:p w:rsidR="002039ED" w:rsidRPr="00455CCD" w:rsidRDefault="002039ED" w:rsidP="001E664D">
      <w:pPr>
        <w:pStyle w:val="NormalWeb"/>
        <w:rPr>
          <w:sz w:val="20"/>
          <w:szCs w:val="20"/>
        </w:rPr>
      </w:pPr>
      <w:r w:rsidRPr="00455CCD">
        <w:rPr>
          <w:sz w:val="20"/>
          <w:szCs w:val="20"/>
        </w:rPr>
        <w:t>(b) The work practice standard in paragraph (a) of this section does not apply when material is being manually added to or removed from a container, or when mixing or pumping equipment is being placed in or removed from a container.</w:t>
      </w:r>
    </w:p>
    <w:p w:rsidR="002039ED" w:rsidRPr="00455CCD" w:rsidRDefault="002039ED" w:rsidP="001E664D">
      <w:pPr>
        <w:pStyle w:val="NormalWeb"/>
        <w:rPr>
          <w:sz w:val="20"/>
          <w:szCs w:val="20"/>
        </w:rPr>
      </w:pPr>
      <w:r w:rsidRPr="00455CCD">
        <w:rPr>
          <w:sz w:val="20"/>
          <w:szCs w:val="20"/>
        </w:rPr>
        <w:t>(c) 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rsidR="002039ED" w:rsidRPr="00455CCD" w:rsidRDefault="002039ED" w:rsidP="001E664D">
      <w:pPr>
        <w:pStyle w:val="NormalWeb"/>
        <w:rPr>
          <w:sz w:val="20"/>
          <w:szCs w:val="20"/>
        </w:rPr>
      </w:pPr>
      <w:r w:rsidRPr="00455CCD">
        <w:rPr>
          <w:sz w:val="20"/>
          <w:szCs w:val="20"/>
        </w:rPr>
        <w:t>(d) You must keep records of which mixing containers are subject to this standard and the results of the inspections, including a description of any repairs or corrective actions taken.</w:t>
      </w:r>
    </w:p>
    <w:p w:rsidR="002039ED" w:rsidRPr="00455CCD" w:rsidRDefault="002039ED" w:rsidP="001E664D">
      <w:pPr>
        <w:pStyle w:val="Heading2"/>
        <w:rPr>
          <w:rFonts w:ascii="Times New Roman" w:hAnsi="Times New Roman" w:cs="Times New Roman"/>
          <w:color w:val="auto"/>
          <w:sz w:val="20"/>
          <w:szCs w:val="20"/>
        </w:rPr>
      </w:pPr>
      <w:bookmarkStart w:id="26" w:name="40:13.0.1.1.1.28.364"/>
      <w:bookmarkEnd w:id="26"/>
      <w:r w:rsidRPr="00455CCD">
        <w:rPr>
          <w:rFonts w:ascii="Times New Roman" w:hAnsi="Times New Roman" w:cs="Times New Roman"/>
          <w:color w:val="auto"/>
          <w:sz w:val="20"/>
          <w:szCs w:val="20"/>
        </w:rPr>
        <w:lastRenderedPageBreak/>
        <w:t>Standards for Resin and Gel Coat Application Equipment Cleaning Operations</w:t>
      </w:r>
    </w:p>
    <w:p w:rsidR="002039ED" w:rsidRPr="00455CCD" w:rsidRDefault="002039ED" w:rsidP="001E664D">
      <w:pPr>
        <w:pStyle w:val="Heading2"/>
        <w:rPr>
          <w:rFonts w:ascii="Times New Roman" w:hAnsi="Times New Roman" w:cs="Times New Roman"/>
          <w:color w:val="auto"/>
          <w:sz w:val="20"/>
          <w:szCs w:val="20"/>
        </w:rPr>
      </w:pPr>
      <w:bookmarkStart w:id="27" w:name="40:13.0.1.1.1.28.364.21"/>
      <w:bookmarkEnd w:id="27"/>
      <w:r w:rsidRPr="00455CCD">
        <w:rPr>
          <w:rFonts w:ascii="Times New Roman" w:hAnsi="Times New Roman" w:cs="Times New Roman"/>
          <w:color w:val="auto"/>
          <w:sz w:val="20"/>
          <w:szCs w:val="20"/>
        </w:rPr>
        <w:t>§ 63.5734   What standards must I meet for resin and gel coat application equipment cleaning operations?</w:t>
      </w:r>
    </w:p>
    <w:p w:rsidR="002039ED" w:rsidRPr="00455CCD" w:rsidRDefault="002039ED" w:rsidP="001E664D">
      <w:pPr>
        <w:pStyle w:val="NormalWeb"/>
        <w:rPr>
          <w:sz w:val="20"/>
          <w:szCs w:val="20"/>
        </w:rPr>
      </w:pPr>
      <w:r w:rsidRPr="00455CCD">
        <w:rPr>
          <w:sz w:val="20"/>
          <w:szCs w:val="20"/>
        </w:rPr>
        <w:t>(a) For routine flushing of resin and gel coat application equipment (e.g., spray guns, flowcoaters, brushes, rollers, and squeegees), you must use a cleaning solvent that contains no more than 5 percent organic HAP by weight. For removing cured resin or gel coat from application equipment, no organic HAP content limit applies.</w:t>
      </w:r>
    </w:p>
    <w:p w:rsidR="002039ED" w:rsidRPr="00455CCD" w:rsidRDefault="002039ED" w:rsidP="001E664D">
      <w:pPr>
        <w:pStyle w:val="NormalWeb"/>
        <w:rPr>
          <w:sz w:val="20"/>
          <w:szCs w:val="20"/>
        </w:rPr>
      </w:pPr>
      <w:r w:rsidRPr="00455CCD">
        <w:rPr>
          <w:sz w:val="20"/>
          <w:szCs w:val="20"/>
        </w:rPr>
        <w:t>(b) 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rsidR="002039ED" w:rsidRPr="00455CCD" w:rsidRDefault="002039ED" w:rsidP="001E664D">
      <w:pPr>
        <w:pStyle w:val="Heading2"/>
        <w:rPr>
          <w:rFonts w:ascii="Times New Roman" w:hAnsi="Times New Roman" w:cs="Times New Roman"/>
          <w:color w:val="auto"/>
          <w:sz w:val="20"/>
          <w:szCs w:val="20"/>
        </w:rPr>
      </w:pPr>
      <w:bookmarkStart w:id="28" w:name="40:13.0.1.1.1.28.364.22"/>
      <w:bookmarkEnd w:id="28"/>
      <w:r w:rsidRPr="00455CCD">
        <w:rPr>
          <w:rFonts w:ascii="Times New Roman" w:hAnsi="Times New Roman" w:cs="Times New Roman"/>
          <w:color w:val="auto"/>
          <w:sz w:val="20"/>
          <w:szCs w:val="20"/>
        </w:rPr>
        <w:t>§ 63.5737   How do I demonstrate compliance with the resin and gel coat application equipment cleaning standards?</w:t>
      </w:r>
    </w:p>
    <w:p w:rsidR="002039ED" w:rsidRPr="00455CCD" w:rsidRDefault="002039ED" w:rsidP="001E664D">
      <w:pPr>
        <w:pStyle w:val="NormalWeb"/>
        <w:rPr>
          <w:sz w:val="20"/>
          <w:szCs w:val="20"/>
        </w:rPr>
      </w:pPr>
      <w:r w:rsidRPr="00455CCD">
        <w:rPr>
          <w:sz w:val="20"/>
          <w:szCs w:val="20"/>
        </w:rPr>
        <w:t>(a) Determine and record the organic HAP content of the cleaning solvents subject to the standards specified in § 63.5734 using the methods specified in § 63.5758.</w:t>
      </w:r>
    </w:p>
    <w:p w:rsidR="002039ED" w:rsidRPr="00455CCD" w:rsidRDefault="002039ED" w:rsidP="001E664D">
      <w:pPr>
        <w:pStyle w:val="NormalWeb"/>
        <w:rPr>
          <w:sz w:val="20"/>
          <w:szCs w:val="20"/>
        </w:rPr>
      </w:pPr>
      <w:r w:rsidRPr="00455CCD">
        <w:rPr>
          <w:sz w:val="20"/>
          <w:szCs w:val="20"/>
        </w:rPr>
        <w:t>(b) 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 63.5758 for demonstrating compliance with organic HAP content limits.</w:t>
      </w:r>
    </w:p>
    <w:p w:rsidR="002039ED" w:rsidRPr="00455CCD" w:rsidRDefault="002039ED" w:rsidP="001E664D">
      <w:pPr>
        <w:pStyle w:val="NormalWeb"/>
        <w:rPr>
          <w:sz w:val="20"/>
          <w:szCs w:val="20"/>
        </w:rPr>
      </w:pPr>
      <w:r w:rsidRPr="00455CCD">
        <w:rPr>
          <w:sz w:val="20"/>
          <w:szCs w:val="20"/>
        </w:rPr>
        <w:t>(c) 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rsidR="002039ED" w:rsidRPr="00455CCD" w:rsidRDefault="002039ED" w:rsidP="001E664D">
      <w:pPr>
        <w:pStyle w:val="Heading2"/>
        <w:rPr>
          <w:rFonts w:ascii="Times New Roman" w:hAnsi="Times New Roman" w:cs="Times New Roman"/>
          <w:color w:val="auto"/>
          <w:sz w:val="20"/>
          <w:szCs w:val="20"/>
        </w:rPr>
      </w:pPr>
      <w:bookmarkStart w:id="29" w:name="40:13.0.1.1.1.28.365"/>
      <w:bookmarkEnd w:id="29"/>
      <w:r w:rsidRPr="00455CCD">
        <w:rPr>
          <w:rFonts w:ascii="Times New Roman" w:hAnsi="Times New Roman" w:cs="Times New Roman"/>
          <w:color w:val="auto"/>
          <w:sz w:val="20"/>
          <w:szCs w:val="20"/>
        </w:rPr>
        <w:t>Standards for Carpet and Fabric Adhesive Operations</w:t>
      </w:r>
    </w:p>
    <w:p w:rsidR="002039ED" w:rsidRPr="00455CCD" w:rsidRDefault="002039ED" w:rsidP="001E664D">
      <w:pPr>
        <w:pStyle w:val="Heading2"/>
        <w:rPr>
          <w:rFonts w:ascii="Times New Roman" w:hAnsi="Times New Roman" w:cs="Times New Roman"/>
          <w:color w:val="auto"/>
          <w:sz w:val="20"/>
          <w:szCs w:val="20"/>
        </w:rPr>
      </w:pPr>
      <w:bookmarkStart w:id="30" w:name="40:13.0.1.1.1.28.365.23"/>
      <w:bookmarkEnd w:id="30"/>
      <w:r w:rsidRPr="00455CCD">
        <w:rPr>
          <w:rFonts w:ascii="Times New Roman" w:hAnsi="Times New Roman" w:cs="Times New Roman"/>
          <w:color w:val="auto"/>
          <w:sz w:val="20"/>
          <w:szCs w:val="20"/>
        </w:rPr>
        <w:t>§ 63.5740   What emission limit must I meet for carpet and fabric adhesive operations?</w:t>
      </w:r>
    </w:p>
    <w:p w:rsidR="002039ED" w:rsidRPr="00455CCD" w:rsidRDefault="002039ED" w:rsidP="001E664D">
      <w:pPr>
        <w:pStyle w:val="NormalWeb"/>
        <w:rPr>
          <w:sz w:val="20"/>
          <w:szCs w:val="20"/>
        </w:rPr>
      </w:pPr>
      <w:r w:rsidRPr="00455CCD">
        <w:rPr>
          <w:sz w:val="20"/>
          <w:szCs w:val="20"/>
        </w:rPr>
        <w:t>(a) You must use carpet and fabric adhesives that contain no more than 5 percent organic HAP by weight.</w:t>
      </w:r>
    </w:p>
    <w:p w:rsidR="002039ED" w:rsidRPr="00455CCD" w:rsidRDefault="002039ED" w:rsidP="001E664D">
      <w:pPr>
        <w:pStyle w:val="NormalWeb"/>
        <w:rPr>
          <w:sz w:val="20"/>
          <w:szCs w:val="20"/>
        </w:rPr>
      </w:pPr>
      <w:r w:rsidRPr="00455CCD">
        <w:rPr>
          <w:sz w:val="20"/>
          <w:szCs w:val="20"/>
        </w:rPr>
        <w:t>(b) To demonstrate compliance with the emission limit in paragraph (a) of this section, you must determine and record the organic HAP content of the carpet and fabric adhesives using the methods in § 63.5758.</w:t>
      </w:r>
    </w:p>
    <w:p w:rsidR="002039ED" w:rsidRPr="00455CCD" w:rsidRDefault="002039ED" w:rsidP="001E664D">
      <w:pPr>
        <w:pStyle w:val="Heading2"/>
        <w:rPr>
          <w:rFonts w:ascii="Times New Roman" w:hAnsi="Times New Roman" w:cs="Times New Roman"/>
          <w:color w:val="auto"/>
          <w:sz w:val="20"/>
          <w:szCs w:val="20"/>
        </w:rPr>
      </w:pPr>
      <w:bookmarkStart w:id="31" w:name="40:13.0.1.1.1.28.366"/>
      <w:bookmarkEnd w:id="31"/>
      <w:r w:rsidRPr="00455CCD">
        <w:rPr>
          <w:rFonts w:ascii="Times New Roman" w:hAnsi="Times New Roman" w:cs="Times New Roman"/>
          <w:color w:val="auto"/>
          <w:sz w:val="20"/>
          <w:szCs w:val="20"/>
        </w:rPr>
        <w:t>Standards for Aluminum Recreational Boat Surface Coating Operations</w:t>
      </w:r>
    </w:p>
    <w:p w:rsidR="002039ED" w:rsidRPr="00455CCD" w:rsidRDefault="002039ED" w:rsidP="001E664D">
      <w:pPr>
        <w:pStyle w:val="Heading2"/>
        <w:rPr>
          <w:rFonts w:ascii="Times New Roman" w:hAnsi="Times New Roman" w:cs="Times New Roman"/>
          <w:color w:val="auto"/>
          <w:sz w:val="20"/>
          <w:szCs w:val="20"/>
        </w:rPr>
      </w:pPr>
      <w:bookmarkStart w:id="32" w:name="40:13.0.1.1.1.28.366.24"/>
      <w:bookmarkEnd w:id="32"/>
      <w:r w:rsidRPr="00455CCD">
        <w:rPr>
          <w:rFonts w:ascii="Times New Roman" w:hAnsi="Times New Roman" w:cs="Times New Roman"/>
          <w:color w:val="auto"/>
          <w:sz w:val="20"/>
          <w:szCs w:val="20"/>
        </w:rPr>
        <w:t>§ 63.5743   What standards must I meet for aluminum recreational boat surface coating operations?</w:t>
      </w:r>
    </w:p>
    <w:p w:rsidR="002039ED" w:rsidRPr="00455CCD" w:rsidRDefault="002039ED" w:rsidP="001E664D">
      <w:pPr>
        <w:pStyle w:val="NormalWeb"/>
        <w:rPr>
          <w:sz w:val="20"/>
          <w:szCs w:val="20"/>
        </w:rPr>
      </w:pPr>
      <w:r w:rsidRPr="00455CCD">
        <w:rPr>
          <w:sz w:val="20"/>
          <w:szCs w:val="20"/>
        </w:rPr>
        <w:t>(a) For aluminum wipedown solvent operations and aluminum surface coating operations, you must comply with either the separate emission limits in paragraphs (a)(1) and (2) of this section, or the combined emission limit in paragraph (a)(3) of this section. Compliance with these limitations is based on a 12-month rolling average that is calculated at the end of every month.</w:t>
      </w:r>
    </w:p>
    <w:p w:rsidR="002039ED" w:rsidRPr="00455CCD" w:rsidRDefault="002039ED" w:rsidP="001E664D">
      <w:pPr>
        <w:pStyle w:val="NormalWeb"/>
        <w:rPr>
          <w:sz w:val="20"/>
          <w:szCs w:val="20"/>
        </w:rPr>
      </w:pPr>
      <w:r w:rsidRPr="00455CCD">
        <w:rPr>
          <w:sz w:val="20"/>
          <w:szCs w:val="20"/>
        </w:rPr>
        <w:t>(1) You must limit emissions from aluminum wipedown solvents to no more than 0.33 kilograms of organic HAP per liter of total coating solids applied from aluminum primers, clear coats, and top coats combined. No limit applies when cleaning surfaces are receiving decals or adhesive graphics.</w:t>
      </w:r>
    </w:p>
    <w:p w:rsidR="002039ED" w:rsidRPr="00455CCD" w:rsidRDefault="002039ED" w:rsidP="001E664D">
      <w:pPr>
        <w:pStyle w:val="NormalWeb"/>
        <w:rPr>
          <w:sz w:val="20"/>
          <w:szCs w:val="20"/>
        </w:rPr>
      </w:pPr>
      <w:r w:rsidRPr="00455CCD">
        <w:rPr>
          <w:sz w:val="20"/>
          <w:szCs w:val="20"/>
        </w:rPr>
        <w:t>(2) 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rsidR="002039ED" w:rsidRPr="00455CCD" w:rsidRDefault="002039ED" w:rsidP="001E664D">
      <w:pPr>
        <w:pStyle w:val="NormalWeb"/>
        <w:rPr>
          <w:sz w:val="20"/>
          <w:szCs w:val="20"/>
        </w:rPr>
      </w:pPr>
      <w:r w:rsidRPr="00455CCD">
        <w:rPr>
          <w:sz w:val="20"/>
          <w:szCs w:val="20"/>
        </w:rPr>
        <w:lastRenderedPageBreak/>
        <w:t>(3) You must limit emissions from the combined aluminum surface coatings and aluminum wipedown solvents to no more than 1.55 kilograms of organic HAP per liter of total coating solids applied from aluminum primers, clear coats, and top coats combined.</w:t>
      </w:r>
    </w:p>
    <w:p w:rsidR="002039ED" w:rsidRPr="00455CCD" w:rsidRDefault="002039ED" w:rsidP="001E664D">
      <w:pPr>
        <w:pStyle w:val="NormalWeb"/>
        <w:rPr>
          <w:sz w:val="20"/>
          <w:szCs w:val="20"/>
        </w:rPr>
      </w:pPr>
      <w:r w:rsidRPr="00455CCD">
        <w:rPr>
          <w:sz w:val="20"/>
          <w:szCs w:val="20"/>
        </w:rPr>
        <w:t>(b) You must comply with the work practice standard in paragraph (b)(1), (2), (3), or (4) of this section when cleaning aluminum coating spray guns with solvents containing more than 5 percent organic HAP by weight.</w:t>
      </w:r>
    </w:p>
    <w:p w:rsidR="002039ED" w:rsidRPr="00455CCD" w:rsidRDefault="002039ED" w:rsidP="001E664D">
      <w:pPr>
        <w:pStyle w:val="NormalWeb"/>
        <w:rPr>
          <w:sz w:val="20"/>
          <w:szCs w:val="20"/>
        </w:rPr>
      </w:pPr>
      <w:r w:rsidRPr="00455CCD">
        <w:rPr>
          <w:sz w:val="20"/>
          <w:szCs w:val="20"/>
        </w:rPr>
        <w:t>(1) Clean spray guns in an enclosed device. Keep the device closed except when you place spray guns in or remove them from the device.</w:t>
      </w:r>
    </w:p>
    <w:p w:rsidR="002039ED" w:rsidRPr="00455CCD" w:rsidRDefault="002039ED" w:rsidP="001E664D">
      <w:pPr>
        <w:pStyle w:val="NormalWeb"/>
        <w:rPr>
          <w:sz w:val="20"/>
          <w:szCs w:val="20"/>
        </w:rPr>
      </w:pPr>
      <w:r w:rsidRPr="00455CCD">
        <w:rPr>
          <w:sz w:val="20"/>
          <w:szCs w:val="20"/>
        </w:rPr>
        <w:t>(2) Disassemble the spray gun and manually clean the components in a vat. Keep the vat closed when you are not using it.</w:t>
      </w:r>
    </w:p>
    <w:p w:rsidR="002039ED" w:rsidRPr="00455CCD" w:rsidRDefault="002039ED" w:rsidP="001E664D">
      <w:pPr>
        <w:pStyle w:val="NormalWeb"/>
        <w:rPr>
          <w:sz w:val="20"/>
          <w:szCs w:val="20"/>
        </w:rPr>
      </w:pPr>
      <w:r w:rsidRPr="00455CCD">
        <w:rPr>
          <w:sz w:val="20"/>
          <w:szCs w:val="20"/>
        </w:rPr>
        <w:t>(3) Clean spray guns by placing solvent in the pressure pot and forcing the solvent through the gun. Do not use atomizing air during this procedure. Direct the used cleaning solvent from the spray gun into a container that you keep closed when you are not using it.</w:t>
      </w:r>
    </w:p>
    <w:p w:rsidR="002039ED" w:rsidRPr="00455CCD" w:rsidRDefault="002039ED" w:rsidP="001E664D">
      <w:pPr>
        <w:pStyle w:val="NormalWeb"/>
        <w:rPr>
          <w:sz w:val="20"/>
          <w:szCs w:val="20"/>
        </w:rPr>
      </w:pPr>
      <w:r w:rsidRPr="00455CCD">
        <w:rPr>
          <w:sz w:val="20"/>
          <w:szCs w:val="20"/>
        </w:rPr>
        <w:t>(4) An alternative gun cleaning process or technology approved by the Administrator according to the procedures in § 63.6(g).</w:t>
      </w:r>
    </w:p>
    <w:p w:rsidR="002039ED" w:rsidRPr="00455CCD" w:rsidRDefault="002039ED" w:rsidP="001E664D">
      <w:pPr>
        <w:pStyle w:val="Heading2"/>
        <w:rPr>
          <w:rFonts w:ascii="Times New Roman" w:hAnsi="Times New Roman" w:cs="Times New Roman"/>
          <w:color w:val="auto"/>
          <w:sz w:val="20"/>
          <w:szCs w:val="20"/>
        </w:rPr>
      </w:pPr>
      <w:bookmarkStart w:id="33" w:name="40:13.0.1.1.1.28.366.25"/>
      <w:bookmarkEnd w:id="33"/>
      <w:r w:rsidRPr="00455CCD">
        <w:rPr>
          <w:rFonts w:ascii="Times New Roman" w:hAnsi="Times New Roman" w:cs="Times New Roman"/>
          <w:color w:val="auto"/>
          <w:sz w:val="20"/>
          <w:szCs w:val="20"/>
        </w:rPr>
        <w:t>§ 63.5746   How do I demonstrate compliance with the emission limits for aluminum wipedown solvents and aluminum coatings?</w:t>
      </w:r>
    </w:p>
    <w:p w:rsidR="002039ED" w:rsidRPr="00455CCD" w:rsidRDefault="002039ED" w:rsidP="001E664D">
      <w:pPr>
        <w:pStyle w:val="NormalWeb"/>
        <w:rPr>
          <w:sz w:val="20"/>
          <w:szCs w:val="20"/>
        </w:rPr>
      </w:pPr>
      <w:r w:rsidRPr="00455CCD">
        <w:rPr>
          <w:sz w:val="20"/>
          <w:szCs w:val="20"/>
        </w:rPr>
        <w:t>To demonstrate compliance with the emission limits for aluminum wipedown solvents and aluminum coatings specified in § 63.5743(a), you must meet the requirements of paragraphs (a) through (f) of this section.</w:t>
      </w:r>
    </w:p>
    <w:p w:rsidR="002039ED" w:rsidRPr="00455CCD" w:rsidRDefault="002039ED" w:rsidP="001E664D">
      <w:pPr>
        <w:pStyle w:val="NormalWeb"/>
        <w:rPr>
          <w:sz w:val="20"/>
          <w:szCs w:val="20"/>
        </w:rPr>
      </w:pPr>
      <w:r w:rsidRPr="00455CCD">
        <w:rPr>
          <w:sz w:val="20"/>
          <w:szCs w:val="20"/>
        </w:rPr>
        <w:t>(a) Determine and record the organic HAP content (kilograms of organic HAP per kilogram of material, or weight fraction) of each aluminum wipedown solvent and aluminum coating (including primers, topcoats, clear coats, thinners, and activators). Use the methods in § 63.5758 to determine organic HAP content.</w:t>
      </w:r>
    </w:p>
    <w:p w:rsidR="002039ED" w:rsidRPr="00455CCD" w:rsidRDefault="002039ED" w:rsidP="001E664D">
      <w:pPr>
        <w:pStyle w:val="NormalWeb"/>
        <w:rPr>
          <w:sz w:val="20"/>
          <w:szCs w:val="20"/>
        </w:rPr>
      </w:pPr>
      <w:r w:rsidRPr="00455CCD">
        <w:rPr>
          <w:sz w:val="20"/>
          <w:szCs w:val="20"/>
        </w:rPr>
        <w:t>(b) Use the methods in § 63.5758(b) to determine the solids content (liters of solids per liter of coating, or volume fraction) of each aluminum surface coating, including primers, topcoats, and clear coats. Keep records of the solids content.</w:t>
      </w:r>
    </w:p>
    <w:p w:rsidR="002039ED" w:rsidRPr="00455CCD" w:rsidRDefault="002039ED" w:rsidP="001E664D">
      <w:pPr>
        <w:pStyle w:val="NormalWeb"/>
        <w:rPr>
          <w:sz w:val="20"/>
          <w:szCs w:val="20"/>
        </w:rPr>
      </w:pPr>
      <w:r w:rsidRPr="00455CCD">
        <w:rPr>
          <w:sz w:val="20"/>
          <w:szCs w:val="20"/>
        </w:rPr>
        <w:t>(c) Use the methods in § 63.5758(c) to determine the density of each aluminum surface coating and wipedown solvent.</w:t>
      </w:r>
    </w:p>
    <w:p w:rsidR="002039ED" w:rsidRPr="00455CCD" w:rsidRDefault="002039ED" w:rsidP="001E664D">
      <w:pPr>
        <w:pStyle w:val="NormalWeb"/>
        <w:rPr>
          <w:sz w:val="20"/>
          <w:szCs w:val="20"/>
        </w:rPr>
      </w:pPr>
      <w:r w:rsidRPr="00455CCD">
        <w:rPr>
          <w:sz w:val="20"/>
          <w:szCs w:val="20"/>
        </w:rPr>
        <w:t>(d) Compliance is based on a 12-month rolling average calculated at the end of every month. The first 12-month rolling-average period begins on the compliance date specified in § 63.5695.</w:t>
      </w:r>
    </w:p>
    <w:p w:rsidR="002039ED" w:rsidRPr="00455CCD" w:rsidRDefault="002039ED" w:rsidP="001E664D">
      <w:pPr>
        <w:pStyle w:val="NormalWeb"/>
        <w:rPr>
          <w:sz w:val="20"/>
          <w:szCs w:val="20"/>
        </w:rPr>
      </w:pPr>
      <w:r w:rsidRPr="00455CCD">
        <w:rPr>
          <w:sz w:val="20"/>
          <w:szCs w:val="20"/>
        </w:rPr>
        <w:t>(e) At the end of the twelfth month after your compliance date and at the end of every subsequent month, use the procedures in § 63.5749 to calculate the organic HAP from aluminum wipedown solvents per liter of coating solids, and use the procedures in § 63.5752 to calculate the kilograms of organic HAP from aluminum coatings per liter of coating solids.</w:t>
      </w:r>
    </w:p>
    <w:p w:rsidR="002039ED" w:rsidRPr="00455CCD" w:rsidRDefault="002039ED" w:rsidP="001E664D">
      <w:pPr>
        <w:pStyle w:val="NormalWeb"/>
        <w:rPr>
          <w:sz w:val="20"/>
          <w:szCs w:val="20"/>
        </w:rPr>
      </w:pPr>
      <w:r w:rsidRPr="00455CCD">
        <w:rPr>
          <w:sz w:val="20"/>
          <w:szCs w:val="20"/>
        </w:rPr>
        <w:t>(f) Keep records of the calculations used to determine compliance.</w:t>
      </w:r>
    </w:p>
    <w:p w:rsidR="002039ED" w:rsidRPr="00455CCD" w:rsidRDefault="002039ED" w:rsidP="001E664D">
      <w:pPr>
        <w:pStyle w:val="NormalWeb"/>
        <w:rPr>
          <w:sz w:val="20"/>
          <w:szCs w:val="20"/>
        </w:rPr>
      </w:pPr>
      <w:r w:rsidRPr="00455CCD">
        <w:rPr>
          <w:sz w:val="20"/>
          <w:szCs w:val="20"/>
        </w:rPr>
        <w:t xml:space="preserve">(g) </w:t>
      </w:r>
      <w:r w:rsidRPr="00455CCD">
        <w:rPr>
          <w:i/>
          <w:iCs/>
          <w:sz w:val="20"/>
          <w:szCs w:val="20"/>
        </w:rPr>
        <w:t>Approval of alternative means of demonstrating compliance.</w:t>
      </w:r>
      <w:r w:rsidRPr="00455CCD">
        <w:rPr>
          <w:sz w:val="20"/>
          <w:szCs w:val="20"/>
        </w:rPr>
        <w:t xml:space="preserve"> You may apply to the Administrator for permission to use an alternative means (such as an add-on control system) of limiting emissions from aluminum wipedown solvent and coating operations and demonstrating compliance with the emission limits in § 63.5743(a).</w:t>
      </w:r>
    </w:p>
    <w:p w:rsidR="002039ED" w:rsidRPr="00455CCD" w:rsidRDefault="002039ED" w:rsidP="001E664D">
      <w:pPr>
        <w:pStyle w:val="NormalWeb"/>
        <w:rPr>
          <w:sz w:val="20"/>
          <w:szCs w:val="20"/>
        </w:rPr>
      </w:pPr>
      <w:r w:rsidRPr="00455CCD">
        <w:rPr>
          <w:sz w:val="20"/>
          <w:szCs w:val="20"/>
        </w:rPr>
        <w:t>(1) The application must include the information listed in paragraphs (g)(1)(i) through (iii) of this section.</w:t>
      </w:r>
    </w:p>
    <w:p w:rsidR="002039ED" w:rsidRPr="00455CCD" w:rsidRDefault="002039ED" w:rsidP="001E664D">
      <w:pPr>
        <w:pStyle w:val="NormalWeb"/>
        <w:rPr>
          <w:sz w:val="20"/>
          <w:szCs w:val="20"/>
        </w:rPr>
      </w:pPr>
      <w:r w:rsidRPr="00455CCD">
        <w:rPr>
          <w:sz w:val="20"/>
          <w:szCs w:val="20"/>
        </w:rPr>
        <w:t>(i) 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rsidR="002039ED" w:rsidRPr="00455CCD" w:rsidRDefault="002039ED" w:rsidP="001E664D">
      <w:pPr>
        <w:pStyle w:val="NormalWeb"/>
        <w:rPr>
          <w:sz w:val="20"/>
          <w:szCs w:val="20"/>
        </w:rPr>
      </w:pPr>
      <w:r w:rsidRPr="00455CCD">
        <w:rPr>
          <w:sz w:val="20"/>
          <w:szCs w:val="20"/>
        </w:rPr>
        <w:lastRenderedPageBreak/>
        <w:t>(ii) A proposed monitoring protocol that includes operating parameter values to be monitored for compliance and an explanation of how the operating parameter values will be established through a performance test.</w:t>
      </w:r>
    </w:p>
    <w:p w:rsidR="002039ED" w:rsidRPr="00455CCD" w:rsidRDefault="002039ED" w:rsidP="001E664D">
      <w:pPr>
        <w:pStyle w:val="NormalWeb"/>
        <w:rPr>
          <w:sz w:val="20"/>
          <w:szCs w:val="20"/>
        </w:rPr>
      </w:pPr>
      <w:r w:rsidRPr="00455CCD">
        <w:rPr>
          <w:sz w:val="20"/>
          <w:szCs w:val="20"/>
        </w:rPr>
        <w:t>(iii) Details of appropriate recordkeeping and reporting procedures.</w:t>
      </w:r>
    </w:p>
    <w:p w:rsidR="002039ED" w:rsidRPr="00455CCD" w:rsidRDefault="002039ED" w:rsidP="001E664D">
      <w:pPr>
        <w:pStyle w:val="NormalWeb"/>
        <w:rPr>
          <w:sz w:val="20"/>
          <w:szCs w:val="20"/>
        </w:rPr>
      </w:pPr>
      <w:r w:rsidRPr="00455CCD">
        <w:rPr>
          <w:sz w:val="20"/>
          <w:szCs w:val="20"/>
        </w:rPr>
        <w:t>(2) The Administrator will approve the alternative means of limiting emissions if the Administrator determines that HAP emissions will be no greater than if the source uses the procedures described in paragraphs (a) through (e) of this section to demonstrate compliance.</w:t>
      </w:r>
    </w:p>
    <w:p w:rsidR="002039ED" w:rsidRPr="00455CCD" w:rsidRDefault="002039ED" w:rsidP="001E664D">
      <w:pPr>
        <w:pStyle w:val="NormalWeb"/>
        <w:rPr>
          <w:sz w:val="20"/>
          <w:szCs w:val="20"/>
        </w:rPr>
      </w:pPr>
      <w:r w:rsidRPr="00455CCD">
        <w:rPr>
          <w:sz w:val="20"/>
          <w:szCs w:val="20"/>
        </w:rPr>
        <w:t>(3) The Administrator's approval may specify operation, maintenance, and monitoring requirements to ensure that emissions from the regulated operations are no greater than those that would otherwise result from regulated operations in compliance with this subpart.</w:t>
      </w:r>
    </w:p>
    <w:p w:rsidR="002039ED" w:rsidRPr="00455CCD" w:rsidRDefault="002039ED" w:rsidP="001E664D">
      <w:pPr>
        <w:pStyle w:val="Heading2"/>
        <w:rPr>
          <w:rFonts w:ascii="Times New Roman" w:hAnsi="Times New Roman" w:cs="Times New Roman"/>
          <w:color w:val="auto"/>
          <w:sz w:val="20"/>
          <w:szCs w:val="20"/>
        </w:rPr>
      </w:pPr>
      <w:bookmarkStart w:id="34" w:name="40:13.0.1.1.1.28.366.26"/>
      <w:bookmarkEnd w:id="34"/>
      <w:r w:rsidRPr="00455CCD">
        <w:rPr>
          <w:rFonts w:ascii="Times New Roman" w:hAnsi="Times New Roman" w:cs="Times New Roman"/>
          <w:color w:val="auto"/>
          <w:sz w:val="20"/>
          <w:szCs w:val="20"/>
        </w:rPr>
        <w:t>§ 63.5749   How do I calculate the organic HAP content of aluminum wipedown solvents?</w:t>
      </w:r>
    </w:p>
    <w:p w:rsidR="002039ED" w:rsidRPr="00455CCD" w:rsidRDefault="002039ED" w:rsidP="001E664D">
      <w:pPr>
        <w:pStyle w:val="NormalWeb"/>
        <w:rPr>
          <w:sz w:val="20"/>
          <w:szCs w:val="20"/>
        </w:rPr>
      </w:pPr>
      <w:r w:rsidRPr="00455CCD">
        <w:rPr>
          <w:sz w:val="20"/>
          <w:szCs w:val="20"/>
        </w:rPr>
        <w:t>(a) Use equation 1 of this section to calculate the weighted-average organic HAP content of aluminum wipedown solvents used in the past 12 months.</w:t>
      </w:r>
    </w:p>
    <w:p w:rsidR="002039ED" w:rsidRPr="00455CCD" w:rsidRDefault="002039ED" w:rsidP="001E664D">
      <w:pPr>
        <w:rPr>
          <w:sz w:val="20"/>
          <w:szCs w:val="20"/>
        </w:rPr>
      </w:pPr>
      <w:r w:rsidRPr="00455CCD">
        <w:rPr>
          <w:noProof/>
          <w:sz w:val="20"/>
          <w:szCs w:val="20"/>
        </w:rPr>
        <w:drawing>
          <wp:inline distT="0" distB="0" distL="0" distR="0">
            <wp:extent cx="2457450" cy="847725"/>
            <wp:effectExtent l="19050" t="0" r="0" b="0"/>
            <wp:docPr id="43" name="Picture 43" descr="eCFR graphic 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22au01.016.gif"/>
                    <pic:cNvPicPr>
                      <a:picLocks noChangeAspect="1" noChangeArrowheads="1"/>
                    </pic:cNvPicPr>
                  </pic:nvPicPr>
                  <pic:blipFill>
                    <a:blip r:embed="rId70" cstate="print"/>
                    <a:srcRect/>
                    <a:stretch>
                      <a:fillRect/>
                    </a:stretch>
                  </pic:blipFill>
                  <pic:spPr bwMode="auto">
                    <a:xfrm>
                      <a:off x="0" y="0"/>
                      <a:ext cx="2457450" cy="847725"/>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HAP</w:t>
      </w:r>
      <w:r w:rsidRPr="00455CCD">
        <w:rPr>
          <w:sz w:val="20"/>
          <w:szCs w:val="20"/>
          <w:vertAlign w:val="subscript"/>
        </w:rPr>
        <w:t>WD</w:t>
      </w:r>
      <w:r w:rsidRPr="00455CCD">
        <w:rPr>
          <w:sz w:val="20"/>
          <w:szCs w:val="20"/>
        </w:rPr>
        <w:t xml:space="preserve"> = weighted-average organic HAP content of aluminum wipedown solvents, kilograms of HAP per liter of total coating solids from aluminum primers, top coats, and clear coats.</w:t>
      </w:r>
    </w:p>
    <w:p w:rsidR="002039ED" w:rsidRPr="00455CCD" w:rsidRDefault="002039ED" w:rsidP="001E664D">
      <w:pPr>
        <w:pStyle w:val="fp-2"/>
        <w:rPr>
          <w:sz w:val="20"/>
          <w:szCs w:val="20"/>
        </w:rPr>
      </w:pPr>
      <w:r w:rsidRPr="00455CCD">
        <w:rPr>
          <w:sz w:val="20"/>
          <w:szCs w:val="20"/>
        </w:rPr>
        <w:t>n = number of different wipedown solvents used in the past 12 months.</w:t>
      </w:r>
    </w:p>
    <w:p w:rsidR="002039ED" w:rsidRPr="00455CCD" w:rsidRDefault="002039ED" w:rsidP="001E664D">
      <w:pPr>
        <w:pStyle w:val="fp-2"/>
        <w:rPr>
          <w:sz w:val="20"/>
          <w:szCs w:val="20"/>
        </w:rPr>
      </w:pPr>
      <w:r w:rsidRPr="00455CCD">
        <w:rPr>
          <w:sz w:val="20"/>
          <w:szCs w:val="20"/>
        </w:rPr>
        <w:t>Vol</w:t>
      </w:r>
      <w:r w:rsidRPr="00455CCD">
        <w:rPr>
          <w:sz w:val="20"/>
          <w:szCs w:val="20"/>
          <w:vertAlign w:val="subscript"/>
        </w:rPr>
        <w:t>j</w:t>
      </w:r>
      <w:r w:rsidRPr="00455CCD">
        <w:rPr>
          <w:sz w:val="20"/>
          <w:szCs w:val="20"/>
        </w:rPr>
        <w:t xml:space="preserve"> = volume of aluminum wipedown solvent j used in the past 12 months, liters.</w:t>
      </w:r>
    </w:p>
    <w:p w:rsidR="002039ED" w:rsidRPr="00455CCD" w:rsidRDefault="002039ED" w:rsidP="001E664D">
      <w:pPr>
        <w:pStyle w:val="fp-2"/>
        <w:rPr>
          <w:sz w:val="20"/>
          <w:szCs w:val="20"/>
        </w:rPr>
      </w:pPr>
      <w:r w:rsidRPr="00455CCD">
        <w:rPr>
          <w:sz w:val="20"/>
          <w:szCs w:val="20"/>
        </w:rPr>
        <w:t>D</w:t>
      </w:r>
      <w:r w:rsidRPr="00455CCD">
        <w:rPr>
          <w:sz w:val="20"/>
          <w:szCs w:val="20"/>
          <w:vertAlign w:val="subscript"/>
        </w:rPr>
        <w:t>j</w:t>
      </w:r>
      <w:r w:rsidRPr="00455CCD">
        <w:rPr>
          <w:sz w:val="20"/>
          <w:szCs w:val="20"/>
        </w:rPr>
        <w:t xml:space="preserve"> = density of aluminum wipedown solvent j, kilograms per liter.</w:t>
      </w:r>
    </w:p>
    <w:p w:rsidR="002039ED" w:rsidRPr="00455CCD" w:rsidRDefault="002039ED" w:rsidP="001E664D">
      <w:pPr>
        <w:pStyle w:val="fp-2"/>
        <w:rPr>
          <w:sz w:val="20"/>
          <w:szCs w:val="20"/>
        </w:rPr>
      </w:pPr>
      <w:r w:rsidRPr="00455CCD">
        <w:rPr>
          <w:sz w:val="20"/>
          <w:szCs w:val="20"/>
        </w:rPr>
        <w:t>W</w:t>
      </w:r>
      <w:r w:rsidRPr="00455CCD">
        <w:rPr>
          <w:sz w:val="20"/>
          <w:szCs w:val="20"/>
          <w:vertAlign w:val="subscript"/>
        </w:rPr>
        <w:t>j</w:t>
      </w:r>
      <w:r w:rsidRPr="00455CCD">
        <w:rPr>
          <w:sz w:val="20"/>
          <w:szCs w:val="20"/>
        </w:rPr>
        <w:t xml:space="preserve"> = mass fraction of organic HAP in aluminum wipedown solvent j.</w:t>
      </w:r>
    </w:p>
    <w:p w:rsidR="002039ED" w:rsidRPr="00455CCD" w:rsidRDefault="002039ED" w:rsidP="001E664D">
      <w:pPr>
        <w:pStyle w:val="fp-2"/>
        <w:rPr>
          <w:sz w:val="20"/>
          <w:szCs w:val="20"/>
        </w:rPr>
      </w:pPr>
      <w:r w:rsidRPr="00455CCD">
        <w:rPr>
          <w:sz w:val="20"/>
          <w:szCs w:val="20"/>
        </w:rPr>
        <w:t>m = number of different aluminum surface coatings (primers, top coats, and clear coats) used in the past 12 months.</w:t>
      </w:r>
    </w:p>
    <w:p w:rsidR="002039ED" w:rsidRPr="00455CCD" w:rsidRDefault="002039ED" w:rsidP="001E664D">
      <w:pPr>
        <w:pStyle w:val="fp-2"/>
        <w:rPr>
          <w:sz w:val="20"/>
          <w:szCs w:val="20"/>
        </w:rPr>
      </w:pPr>
      <w:r w:rsidRPr="00455CCD">
        <w:rPr>
          <w:sz w:val="20"/>
          <w:szCs w:val="20"/>
        </w:rPr>
        <w:t>Vol</w:t>
      </w:r>
      <w:r w:rsidRPr="00455CCD">
        <w:rPr>
          <w:sz w:val="20"/>
          <w:szCs w:val="20"/>
          <w:vertAlign w:val="subscript"/>
        </w:rPr>
        <w:t>i</w:t>
      </w:r>
      <w:r w:rsidRPr="00455CCD">
        <w:rPr>
          <w:sz w:val="20"/>
          <w:szCs w:val="20"/>
        </w:rPr>
        <w:t xml:space="preserve"> = volume of aluminum primer, top coat, or clear coat i used in the past 12 months, liters.</w:t>
      </w:r>
    </w:p>
    <w:p w:rsidR="002039ED" w:rsidRPr="00455CCD" w:rsidRDefault="002039ED" w:rsidP="001E664D">
      <w:pPr>
        <w:pStyle w:val="fp-2"/>
        <w:rPr>
          <w:sz w:val="20"/>
          <w:szCs w:val="20"/>
        </w:rPr>
      </w:pPr>
      <w:r w:rsidRPr="00455CCD">
        <w:rPr>
          <w:sz w:val="20"/>
          <w:szCs w:val="20"/>
        </w:rPr>
        <w:t>Solids</w:t>
      </w:r>
      <w:r w:rsidRPr="00455CCD">
        <w:rPr>
          <w:sz w:val="20"/>
          <w:szCs w:val="20"/>
          <w:vertAlign w:val="subscript"/>
        </w:rPr>
        <w:t>i</w:t>
      </w:r>
      <w:r w:rsidRPr="00455CCD">
        <w:rPr>
          <w:sz w:val="20"/>
          <w:szCs w:val="20"/>
        </w:rPr>
        <w:t xml:space="preserve"> = solids content aluminum primer, top coat, or clear coat i, liter solids per liter of coating.</w:t>
      </w:r>
    </w:p>
    <w:p w:rsidR="002039ED" w:rsidRPr="00455CCD" w:rsidRDefault="002039ED" w:rsidP="001E664D">
      <w:pPr>
        <w:pStyle w:val="NormalWeb"/>
        <w:rPr>
          <w:sz w:val="20"/>
          <w:szCs w:val="20"/>
        </w:rPr>
      </w:pPr>
      <w:r w:rsidRPr="00455CCD">
        <w:rPr>
          <w:sz w:val="20"/>
          <w:szCs w:val="20"/>
        </w:rPr>
        <w:t>(b) Compliance is based on a 12-month rolling average. If the weighted-average organic HAP content does not exceed 0.33 kilograms of organic HAP per liter of total coating solids, then you are in compliance with the emission limit specified in § 63.5743(a)(1).</w:t>
      </w:r>
    </w:p>
    <w:p w:rsidR="002039ED" w:rsidRPr="00455CCD" w:rsidRDefault="002039ED" w:rsidP="001E664D">
      <w:pPr>
        <w:pStyle w:val="Heading2"/>
        <w:rPr>
          <w:rFonts w:ascii="Times New Roman" w:hAnsi="Times New Roman" w:cs="Times New Roman"/>
          <w:color w:val="auto"/>
          <w:sz w:val="20"/>
          <w:szCs w:val="20"/>
        </w:rPr>
      </w:pPr>
      <w:bookmarkStart w:id="35" w:name="40:13.0.1.1.1.28.366.27"/>
      <w:bookmarkEnd w:id="35"/>
      <w:r w:rsidRPr="00455CCD">
        <w:rPr>
          <w:rFonts w:ascii="Times New Roman" w:hAnsi="Times New Roman" w:cs="Times New Roman"/>
          <w:color w:val="auto"/>
          <w:sz w:val="20"/>
          <w:szCs w:val="20"/>
        </w:rPr>
        <w:t>§ 63.5752   How do I calculate the organic HAP content of aluminum recreational boat surface coatings?</w:t>
      </w:r>
    </w:p>
    <w:p w:rsidR="002039ED" w:rsidRPr="00455CCD" w:rsidRDefault="002039ED" w:rsidP="001E664D">
      <w:pPr>
        <w:pStyle w:val="NormalWeb"/>
        <w:rPr>
          <w:sz w:val="20"/>
          <w:szCs w:val="20"/>
        </w:rPr>
      </w:pPr>
      <w:r w:rsidRPr="00455CCD">
        <w:rPr>
          <w:sz w:val="20"/>
          <w:szCs w:val="20"/>
        </w:rPr>
        <w:t>(a) Use equation 1 of this section to calculate the weighted-average HAP content for all aluminum surface coatings used in the past 12 months.</w:t>
      </w:r>
    </w:p>
    <w:p w:rsidR="002039ED" w:rsidRPr="00455CCD" w:rsidRDefault="002039ED" w:rsidP="001E664D">
      <w:pPr>
        <w:rPr>
          <w:sz w:val="20"/>
          <w:szCs w:val="20"/>
        </w:rPr>
      </w:pPr>
      <w:r w:rsidRPr="00455CCD">
        <w:rPr>
          <w:noProof/>
          <w:sz w:val="20"/>
          <w:szCs w:val="20"/>
        </w:rPr>
        <w:lastRenderedPageBreak/>
        <w:drawing>
          <wp:inline distT="0" distB="0" distL="0" distR="0">
            <wp:extent cx="3638550" cy="838200"/>
            <wp:effectExtent l="19050" t="0" r="0" b="0"/>
            <wp:docPr id="45" name="Picture 45" descr="eCFR graphic 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22au01.017.gif"/>
                    <pic:cNvPicPr>
                      <a:picLocks noChangeAspect="1" noChangeArrowheads="1"/>
                    </pic:cNvPicPr>
                  </pic:nvPicPr>
                  <pic:blipFill>
                    <a:blip r:embed="rId71" cstate="print"/>
                    <a:srcRect/>
                    <a:stretch>
                      <a:fillRect/>
                    </a:stretch>
                  </pic:blipFill>
                  <pic:spPr bwMode="auto">
                    <a:xfrm>
                      <a:off x="0" y="0"/>
                      <a:ext cx="3638550" cy="838200"/>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HAP</w:t>
      </w:r>
      <w:r w:rsidRPr="00455CCD">
        <w:rPr>
          <w:sz w:val="20"/>
          <w:szCs w:val="20"/>
          <w:vertAlign w:val="subscript"/>
        </w:rPr>
        <w:t>SC</w:t>
      </w:r>
      <w:r w:rsidRPr="00455CCD">
        <w:rPr>
          <w:sz w:val="20"/>
          <w:szCs w:val="20"/>
        </w:rPr>
        <w:t xml:space="preserve"> = weighted-average organic HAP content for all aluminum coating materials, kilograms of organic HAP per liter of coating solids.</w:t>
      </w:r>
    </w:p>
    <w:p w:rsidR="002039ED" w:rsidRPr="00455CCD" w:rsidRDefault="002039ED" w:rsidP="001E664D">
      <w:pPr>
        <w:pStyle w:val="fp-2"/>
        <w:rPr>
          <w:sz w:val="20"/>
          <w:szCs w:val="20"/>
        </w:rPr>
      </w:pPr>
      <w:r w:rsidRPr="00455CCD">
        <w:rPr>
          <w:sz w:val="20"/>
          <w:szCs w:val="20"/>
        </w:rPr>
        <w:t>m = number of different aluminum primers, top coats, and clear coats used in the past 12 months.</w:t>
      </w:r>
    </w:p>
    <w:p w:rsidR="002039ED" w:rsidRPr="00455CCD" w:rsidRDefault="002039ED" w:rsidP="001E664D">
      <w:pPr>
        <w:pStyle w:val="fp-2"/>
        <w:rPr>
          <w:sz w:val="20"/>
          <w:szCs w:val="20"/>
        </w:rPr>
      </w:pPr>
      <w:r w:rsidRPr="00455CCD">
        <w:rPr>
          <w:sz w:val="20"/>
          <w:szCs w:val="20"/>
        </w:rPr>
        <w:t>Vol</w:t>
      </w:r>
      <w:r w:rsidRPr="00455CCD">
        <w:rPr>
          <w:sz w:val="20"/>
          <w:szCs w:val="20"/>
          <w:vertAlign w:val="subscript"/>
        </w:rPr>
        <w:t>i</w:t>
      </w:r>
      <w:r w:rsidRPr="00455CCD">
        <w:rPr>
          <w:sz w:val="20"/>
          <w:szCs w:val="20"/>
        </w:rPr>
        <w:t xml:space="preserve"> = volume of aluminum primer, top coat, or clear coat i used in the past 12 months, liters.</w:t>
      </w:r>
    </w:p>
    <w:p w:rsidR="002039ED" w:rsidRPr="00455CCD" w:rsidRDefault="002039ED" w:rsidP="001E664D">
      <w:pPr>
        <w:pStyle w:val="fp-2"/>
        <w:rPr>
          <w:sz w:val="20"/>
          <w:szCs w:val="20"/>
        </w:rPr>
      </w:pPr>
      <w:r w:rsidRPr="00455CCD">
        <w:rPr>
          <w:sz w:val="20"/>
          <w:szCs w:val="20"/>
        </w:rPr>
        <w:t>D</w:t>
      </w:r>
      <w:r w:rsidRPr="00455CCD">
        <w:rPr>
          <w:sz w:val="20"/>
          <w:szCs w:val="20"/>
          <w:vertAlign w:val="subscript"/>
        </w:rPr>
        <w:t>i</w:t>
      </w:r>
      <w:r w:rsidRPr="00455CCD">
        <w:rPr>
          <w:sz w:val="20"/>
          <w:szCs w:val="20"/>
        </w:rPr>
        <w:t xml:space="preserve"> = density of coating i, kilograms per liter.</w:t>
      </w:r>
    </w:p>
    <w:p w:rsidR="002039ED" w:rsidRPr="00455CCD" w:rsidRDefault="002039ED" w:rsidP="001E664D">
      <w:pPr>
        <w:pStyle w:val="fp-2"/>
        <w:rPr>
          <w:sz w:val="20"/>
          <w:szCs w:val="20"/>
        </w:rPr>
      </w:pPr>
      <w:r w:rsidRPr="00455CCD">
        <w:rPr>
          <w:sz w:val="20"/>
          <w:szCs w:val="20"/>
        </w:rPr>
        <w:t>W</w:t>
      </w:r>
      <w:r w:rsidRPr="00455CCD">
        <w:rPr>
          <w:sz w:val="20"/>
          <w:szCs w:val="20"/>
          <w:vertAlign w:val="subscript"/>
        </w:rPr>
        <w:t>i</w:t>
      </w:r>
      <w:r w:rsidRPr="00455CCD">
        <w:rPr>
          <w:sz w:val="20"/>
          <w:szCs w:val="20"/>
        </w:rPr>
        <w:t xml:space="preserve"> = mass fraction of organic HAP in coating i, kilograms of organic HAP per kilogram of coating.</w:t>
      </w:r>
    </w:p>
    <w:p w:rsidR="002039ED" w:rsidRPr="00455CCD" w:rsidRDefault="002039ED" w:rsidP="001E664D">
      <w:pPr>
        <w:pStyle w:val="fp-2"/>
        <w:rPr>
          <w:sz w:val="20"/>
          <w:szCs w:val="20"/>
        </w:rPr>
      </w:pPr>
      <w:r w:rsidRPr="00455CCD">
        <w:rPr>
          <w:sz w:val="20"/>
          <w:szCs w:val="20"/>
        </w:rPr>
        <w:t>p = number of different thinners, activators, and other coating additives used in the past 12 months.</w:t>
      </w:r>
    </w:p>
    <w:p w:rsidR="002039ED" w:rsidRPr="00455CCD" w:rsidRDefault="002039ED" w:rsidP="001E664D">
      <w:pPr>
        <w:pStyle w:val="fp-2"/>
        <w:rPr>
          <w:sz w:val="20"/>
          <w:szCs w:val="20"/>
        </w:rPr>
      </w:pPr>
      <w:r w:rsidRPr="00455CCD">
        <w:rPr>
          <w:sz w:val="20"/>
          <w:szCs w:val="20"/>
        </w:rPr>
        <w:t>Vol</w:t>
      </w:r>
      <w:r w:rsidRPr="00455CCD">
        <w:rPr>
          <w:sz w:val="20"/>
          <w:szCs w:val="20"/>
          <w:vertAlign w:val="subscript"/>
        </w:rPr>
        <w:t>k</w:t>
      </w:r>
      <w:r w:rsidRPr="00455CCD">
        <w:rPr>
          <w:sz w:val="20"/>
          <w:szCs w:val="20"/>
        </w:rPr>
        <w:t xml:space="preserve"> = total volume of thinner, activator, or additive k used in the past 12 months, liters.</w:t>
      </w:r>
    </w:p>
    <w:p w:rsidR="002039ED" w:rsidRPr="00455CCD" w:rsidRDefault="002039ED" w:rsidP="001E664D">
      <w:pPr>
        <w:pStyle w:val="fp-2"/>
        <w:rPr>
          <w:sz w:val="20"/>
          <w:szCs w:val="20"/>
        </w:rPr>
      </w:pPr>
      <w:r w:rsidRPr="00455CCD">
        <w:rPr>
          <w:sz w:val="20"/>
          <w:szCs w:val="20"/>
        </w:rPr>
        <w:t>D</w:t>
      </w:r>
      <w:r w:rsidRPr="00455CCD">
        <w:rPr>
          <w:sz w:val="20"/>
          <w:szCs w:val="20"/>
          <w:vertAlign w:val="subscript"/>
        </w:rPr>
        <w:t>k</w:t>
      </w:r>
      <w:r w:rsidRPr="00455CCD">
        <w:rPr>
          <w:sz w:val="20"/>
          <w:szCs w:val="20"/>
        </w:rPr>
        <w:t xml:space="preserve"> = density of thinner, activator, or additive k, kilograms per liter.</w:t>
      </w:r>
    </w:p>
    <w:p w:rsidR="002039ED" w:rsidRPr="00455CCD" w:rsidRDefault="002039ED" w:rsidP="001E664D">
      <w:pPr>
        <w:pStyle w:val="fp-2"/>
        <w:rPr>
          <w:sz w:val="20"/>
          <w:szCs w:val="20"/>
        </w:rPr>
      </w:pPr>
      <w:r w:rsidRPr="00455CCD">
        <w:rPr>
          <w:sz w:val="20"/>
          <w:szCs w:val="20"/>
        </w:rPr>
        <w:t>W</w:t>
      </w:r>
      <w:r w:rsidRPr="00455CCD">
        <w:rPr>
          <w:sz w:val="20"/>
          <w:szCs w:val="20"/>
          <w:vertAlign w:val="subscript"/>
        </w:rPr>
        <w:t>k</w:t>
      </w:r>
      <w:r w:rsidRPr="00455CCD">
        <w:rPr>
          <w:sz w:val="20"/>
          <w:szCs w:val="20"/>
        </w:rPr>
        <w:t xml:space="preserve"> = mass fraction of organic HAP in thinner, activator, or additive k, kilograms of organic HAP per kilogram of thinner or activator.</w:t>
      </w:r>
    </w:p>
    <w:p w:rsidR="002039ED" w:rsidRPr="00455CCD" w:rsidRDefault="002039ED" w:rsidP="001E664D">
      <w:pPr>
        <w:pStyle w:val="fp-2"/>
        <w:rPr>
          <w:sz w:val="20"/>
          <w:szCs w:val="20"/>
        </w:rPr>
      </w:pPr>
      <w:r w:rsidRPr="00455CCD">
        <w:rPr>
          <w:sz w:val="20"/>
          <w:szCs w:val="20"/>
        </w:rPr>
        <w:t>Solids</w:t>
      </w:r>
      <w:r w:rsidRPr="00455CCD">
        <w:rPr>
          <w:sz w:val="20"/>
          <w:szCs w:val="20"/>
          <w:vertAlign w:val="subscript"/>
        </w:rPr>
        <w:t>i</w:t>
      </w:r>
      <w:r w:rsidRPr="00455CCD">
        <w:rPr>
          <w:sz w:val="20"/>
          <w:szCs w:val="20"/>
        </w:rPr>
        <w:t xml:space="preserve"> = solids content of aluminum primer, top coat, or clear coat i, liter solids per liter of coating.</w:t>
      </w:r>
    </w:p>
    <w:p w:rsidR="002039ED" w:rsidRPr="00455CCD" w:rsidRDefault="002039ED" w:rsidP="001E664D">
      <w:pPr>
        <w:pStyle w:val="NormalWeb"/>
        <w:rPr>
          <w:sz w:val="20"/>
          <w:szCs w:val="20"/>
        </w:rPr>
      </w:pPr>
      <w:r w:rsidRPr="00455CCD">
        <w:rPr>
          <w:sz w:val="20"/>
          <w:szCs w:val="20"/>
        </w:rPr>
        <w:t>(b) Compliance is based on a 12-month rolling average. If the weighted-average organic HAP content does not exceed 1.22 kilograms of organic HAP per liter of coating solids, then you are in compliance with the emission limit specified in § 63.5743(a)(2).</w:t>
      </w:r>
    </w:p>
    <w:p w:rsidR="002039ED" w:rsidRPr="00455CCD" w:rsidRDefault="002039ED" w:rsidP="001E664D">
      <w:pPr>
        <w:pStyle w:val="Heading2"/>
        <w:rPr>
          <w:rFonts w:ascii="Times New Roman" w:hAnsi="Times New Roman" w:cs="Times New Roman"/>
          <w:color w:val="auto"/>
          <w:sz w:val="20"/>
          <w:szCs w:val="20"/>
        </w:rPr>
      </w:pPr>
      <w:bookmarkStart w:id="36" w:name="40:13.0.1.1.1.28.366.28"/>
      <w:bookmarkEnd w:id="36"/>
      <w:r w:rsidRPr="00455CCD">
        <w:rPr>
          <w:rFonts w:ascii="Times New Roman" w:hAnsi="Times New Roman" w:cs="Times New Roman"/>
          <w:color w:val="auto"/>
          <w:sz w:val="20"/>
          <w:szCs w:val="20"/>
        </w:rPr>
        <w:t>§ 63.5753   How do I calculate the combined organic HAP content of aluminum wipedown solvents and aluminum recreational boat surface coatings?</w:t>
      </w:r>
    </w:p>
    <w:p w:rsidR="002039ED" w:rsidRPr="00455CCD" w:rsidRDefault="002039ED" w:rsidP="001E664D">
      <w:pPr>
        <w:pStyle w:val="NormalWeb"/>
        <w:rPr>
          <w:sz w:val="20"/>
          <w:szCs w:val="20"/>
        </w:rPr>
      </w:pPr>
      <w:r w:rsidRPr="00455CCD">
        <w:rPr>
          <w:sz w:val="20"/>
          <w:szCs w:val="20"/>
        </w:rPr>
        <w:t>(a) Use equation 1 of this section to calculate the combined weighted-average organic HAP content of aluminum wipedown solvents and aluminum recreational boat surface coatings.</w:t>
      </w:r>
    </w:p>
    <w:p w:rsidR="002039ED" w:rsidRPr="00455CCD" w:rsidRDefault="002039ED" w:rsidP="001E664D">
      <w:pPr>
        <w:rPr>
          <w:sz w:val="20"/>
          <w:szCs w:val="20"/>
        </w:rPr>
      </w:pPr>
      <w:r w:rsidRPr="00455CCD">
        <w:rPr>
          <w:noProof/>
          <w:sz w:val="20"/>
          <w:szCs w:val="20"/>
        </w:rPr>
        <w:drawing>
          <wp:inline distT="0" distB="0" distL="0" distR="0">
            <wp:extent cx="2562225" cy="228600"/>
            <wp:effectExtent l="19050" t="0" r="9525" b="0"/>
            <wp:docPr id="47" name="Picture 47" descr="eCFR graphic 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CFR graphic er22au01.018.gif"/>
                    <pic:cNvPicPr>
                      <a:picLocks noChangeAspect="1" noChangeArrowheads="1"/>
                    </pic:cNvPicPr>
                  </pic:nvPicPr>
                  <pic:blipFill>
                    <a:blip r:embed="rId72" cstate="print"/>
                    <a:srcRect/>
                    <a:stretch>
                      <a:fillRect/>
                    </a:stretch>
                  </pic:blipFill>
                  <pic:spPr bwMode="auto">
                    <a:xfrm>
                      <a:off x="0" y="0"/>
                      <a:ext cx="2562225" cy="228600"/>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HAP</w:t>
      </w:r>
      <w:r w:rsidRPr="00455CCD">
        <w:rPr>
          <w:sz w:val="20"/>
          <w:szCs w:val="20"/>
          <w:vertAlign w:val="subscript"/>
        </w:rPr>
        <w:t>WD</w:t>
      </w:r>
      <w:r w:rsidRPr="00455CCD">
        <w:rPr>
          <w:sz w:val="20"/>
          <w:szCs w:val="20"/>
        </w:rPr>
        <w:t xml:space="preserve"> = the weighted-average organic HAP content of aluminum wipedown solvents used in the past 12 months, calculated using equation 1 of § 63.5749.</w:t>
      </w:r>
    </w:p>
    <w:p w:rsidR="002039ED" w:rsidRPr="00455CCD" w:rsidRDefault="002039ED" w:rsidP="001E664D">
      <w:pPr>
        <w:pStyle w:val="fp-2"/>
        <w:rPr>
          <w:sz w:val="20"/>
          <w:szCs w:val="20"/>
        </w:rPr>
      </w:pPr>
      <w:r w:rsidRPr="00455CCD">
        <w:rPr>
          <w:sz w:val="20"/>
          <w:szCs w:val="20"/>
        </w:rPr>
        <w:t>HAP</w:t>
      </w:r>
      <w:r w:rsidRPr="00455CCD">
        <w:rPr>
          <w:sz w:val="20"/>
          <w:szCs w:val="20"/>
          <w:vertAlign w:val="subscript"/>
        </w:rPr>
        <w:t>SC</w:t>
      </w:r>
      <w:r w:rsidRPr="00455CCD">
        <w:rPr>
          <w:sz w:val="20"/>
          <w:szCs w:val="20"/>
        </w:rPr>
        <w:t xml:space="preserve"> = the weighted average organic HAP content of aluminum recreational boat surface coatings used in the past 12 months, calculated using equation 1 of § 63.5752.</w:t>
      </w:r>
    </w:p>
    <w:p w:rsidR="002039ED" w:rsidRPr="00455CCD" w:rsidRDefault="002039ED" w:rsidP="001E664D">
      <w:pPr>
        <w:pStyle w:val="NormalWeb"/>
        <w:rPr>
          <w:sz w:val="20"/>
          <w:szCs w:val="20"/>
        </w:rPr>
      </w:pPr>
      <w:r w:rsidRPr="00455CCD">
        <w:rPr>
          <w:sz w:val="20"/>
          <w:szCs w:val="20"/>
        </w:rPr>
        <w:t>(b) Compliance is based on a 12-month rolling average. If the combined organic HAP content does not exceed 1.55 kilograms of organic HAP per liter of total coating solids, then you are in compliance with the emission limit specified in § 63.5743(a)(3).</w:t>
      </w:r>
    </w:p>
    <w:p w:rsidR="002039ED" w:rsidRPr="00455CCD" w:rsidRDefault="002039ED" w:rsidP="001E664D">
      <w:pPr>
        <w:pStyle w:val="Heading2"/>
        <w:rPr>
          <w:rFonts w:ascii="Times New Roman" w:hAnsi="Times New Roman" w:cs="Times New Roman"/>
          <w:color w:val="auto"/>
          <w:sz w:val="20"/>
          <w:szCs w:val="20"/>
        </w:rPr>
      </w:pPr>
      <w:bookmarkStart w:id="37" w:name="40:13.0.1.1.1.28.366.29"/>
      <w:bookmarkEnd w:id="37"/>
      <w:r w:rsidRPr="00455CCD">
        <w:rPr>
          <w:rFonts w:ascii="Times New Roman" w:hAnsi="Times New Roman" w:cs="Times New Roman"/>
          <w:color w:val="auto"/>
          <w:sz w:val="20"/>
          <w:szCs w:val="20"/>
        </w:rPr>
        <w:lastRenderedPageBreak/>
        <w:t>§ 63.5755   How do I demonstrate compliance with the aluminum recreational boat surface coating spray gun cleaning work practice standards?</w:t>
      </w:r>
    </w:p>
    <w:p w:rsidR="002039ED" w:rsidRPr="00455CCD" w:rsidRDefault="002039ED" w:rsidP="001E664D">
      <w:pPr>
        <w:pStyle w:val="NormalWeb"/>
        <w:rPr>
          <w:sz w:val="20"/>
          <w:szCs w:val="20"/>
        </w:rPr>
      </w:pPr>
      <w:r w:rsidRPr="00455CCD">
        <w:rPr>
          <w:sz w:val="20"/>
          <w:szCs w:val="20"/>
        </w:rPr>
        <w:t>You must demonstrate compliance with the aluminum coating spray gun cleaning work practice standards by meeting the requirements of paragraph (a) or (b) of this section.</w:t>
      </w:r>
    </w:p>
    <w:p w:rsidR="002039ED" w:rsidRPr="00455CCD" w:rsidRDefault="002039ED" w:rsidP="001E664D">
      <w:pPr>
        <w:pStyle w:val="NormalWeb"/>
        <w:rPr>
          <w:sz w:val="20"/>
          <w:szCs w:val="20"/>
        </w:rPr>
      </w:pPr>
      <w:r w:rsidRPr="00455CCD">
        <w:rPr>
          <w:sz w:val="20"/>
          <w:szCs w:val="20"/>
        </w:rPr>
        <w:t>(a) Demonstrate that solvents used to clean the aluminum coating spray guns contain no more than 5 percent organic HAP by weight by determining organic HAP content with the methods in § 63.5758. Keep records of the organic HAP content determination.</w:t>
      </w:r>
    </w:p>
    <w:p w:rsidR="002039ED" w:rsidRPr="00455CCD" w:rsidRDefault="002039ED" w:rsidP="001E664D">
      <w:pPr>
        <w:pStyle w:val="NormalWeb"/>
        <w:rPr>
          <w:sz w:val="20"/>
          <w:szCs w:val="20"/>
        </w:rPr>
      </w:pPr>
      <w:r w:rsidRPr="00455CCD">
        <w:rPr>
          <w:sz w:val="20"/>
          <w:szCs w:val="20"/>
        </w:rPr>
        <w:t>(b) For solvents containing more than 5 percent organic HAP by weight, comply with the requirements in paragraph (b)(1) or (b)(2), and paragraph (b)(3) of this section.</w:t>
      </w:r>
    </w:p>
    <w:p w:rsidR="002039ED" w:rsidRPr="00455CCD" w:rsidRDefault="002039ED" w:rsidP="001E664D">
      <w:pPr>
        <w:pStyle w:val="NormalWeb"/>
        <w:rPr>
          <w:sz w:val="20"/>
          <w:szCs w:val="20"/>
        </w:rPr>
      </w:pPr>
      <w:r w:rsidRPr="00455CCD">
        <w:rPr>
          <w:sz w:val="20"/>
          <w:szCs w:val="20"/>
        </w:rPr>
        <w:t>(1) If you are using an enclosed spray gun cleaner, visually inspect it at least once per month to ensure that covers are in place and the covers have no visible gaps when the cleaner is not in use, and that there are no leaks from hoses or fittings.</w:t>
      </w:r>
    </w:p>
    <w:p w:rsidR="002039ED" w:rsidRPr="00455CCD" w:rsidRDefault="002039ED" w:rsidP="001E664D">
      <w:pPr>
        <w:pStyle w:val="NormalWeb"/>
        <w:rPr>
          <w:sz w:val="20"/>
          <w:szCs w:val="20"/>
        </w:rPr>
      </w:pPr>
      <w:r w:rsidRPr="00455CCD">
        <w:rPr>
          <w:sz w:val="20"/>
          <w:szCs w:val="20"/>
        </w:rPr>
        <w:t>(2) If you are manually cleaning the gun or spraying solvent into a container that can be closed, visually inspect all solvent containers at least once per month to ensure that the containers have covers and the covers fit with no visible gaps.</w:t>
      </w:r>
    </w:p>
    <w:p w:rsidR="002039ED" w:rsidRPr="00455CCD" w:rsidRDefault="002039ED" w:rsidP="001E664D">
      <w:pPr>
        <w:pStyle w:val="NormalWeb"/>
        <w:rPr>
          <w:sz w:val="20"/>
          <w:szCs w:val="20"/>
        </w:rPr>
      </w:pPr>
      <w:r w:rsidRPr="00455CCD">
        <w:rPr>
          <w:sz w:val="20"/>
          <w:szCs w:val="20"/>
        </w:rPr>
        <w:t>(3) Keep records of the monthly inspections and any repairs that are made to the enclosed gun cleaners or the covers.</w:t>
      </w:r>
    </w:p>
    <w:p w:rsidR="002039ED" w:rsidRPr="00455CCD" w:rsidRDefault="002039ED" w:rsidP="001E664D">
      <w:pPr>
        <w:pStyle w:val="Heading2"/>
        <w:rPr>
          <w:rFonts w:ascii="Times New Roman" w:hAnsi="Times New Roman" w:cs="Times New Roman"/>
          <w:color w:val="auto"/>
          <w:sz w:val="20"/>
          <w:szCs w:val="20"/>
        </w:rPr>
      </w:pPr>
      <w:bookmarkStart w:id="38" w:name="40:13.0.1.1.1.28.367"/>
      <w:bookmarkEnd w:id="38"/>
      <w:r w:rsidRPr="00455CCD">
        <w:rPr>
          <w:rFonts w:ascii="Times New Roman" w:hAnsi="Times New Roman" w:cs="Times New Roman"/>
          <w:color w:val="auto"/>
          <w:sz w:val="20"/>
          <w:szCs w:val="20"/>
        </w:rPr>
        <w:t>Methods for Determining Hazardous Air Pollutant Content</w:t>
      </w:r>
    </w:p>
    <w:p w:rsidR="002039ED" w:rsidRPr="00455CCD" w:rsidRDefault="002039ED" w:rsidP="001E664D">
      <w:pPr>
        <w:pStyle w:val="Heading2"/>
        <w:rPr>
          <w:rFonts w:ascii="Times New Roman" w:hAnsi="Times New Roman" w:cs="Times New Roman"/>
          <w:color w:val="auto"/>
          <w:sz w:val="20"/>
          <w:szCs w:val="20"/>
        </w:rPr>
      </w:pPr>
      <w:bookmarkStart w:id="39" w:name="40:13.0.1.1.1.28.367.30"/>
      <w:bookmarkEnd w:id="39"/>
      <w:r w:rsidRPr="00455CCD">
        <w:rPr>
          <w:rFonts w:ascii="Times New Roman" w:hAnsi="Times New Roman" w:cs="Times New Roman"/>
          <w:color w:val="auto"/>
          <w:sz w:val="20"/>
          <w:szCs w:val="20"/>
        </w:rPr>
        <w:t>§ 63.5758   How do I determine the organic HAP content of materials?</w:t>
      </w:r>
    </w:p>
    <w:p w:rsidR="002039ED" w:rsidRPr="00455CCD" w:rsidRDefault="002039ED" w:rsidP="001E664D">
      <w:pPr>
        <w:pStyle w:val="NormalWeb"/>
        <w:rPr>
          <w:sz w:val="20"/>
          <w:szCs w:val="20"/>
        </w:rPr>
      </w:pPr>
      <w:r w:rsidRPr="00455CCD">
        <w:rPr>
          <w:sz w:val="20"/>
          <w:szCs w:val="20"/>
        </w:rPr>
        <w:t xml:space="preserve">(a) </w:t>
      </w:r>
      <w:r w:rsidRPr="00455CCD">
        <w:rPr>
          <w:i/>
          <w:iCs/>
          <w:sz w:val="20"/>
          <w:szCs w:val="20"/>
        </w:rPr>
        <w:t>Determine the organic HAP content for each material used.</w:t>
      </w:r>
      <w:r w:rsidRPr="00455CCD">
        <w:rPr>
          <w:sz w:val="20"/>
          <w:szCs w:val="20"/>
        </w:rPr>
        <w:t xml:space="preserve"> 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rsidR="002039ED" w:rsidRPr="00455CCD" w:rsidRDefault="002039ED" w:rsidP="001E664D">
      <w:pPr>
        <w:pStyle w:val="NormalWeb"/>
        <w:rPr>
          <w:sz w:val="20"/>
          <w:szCs w:val="20"/>
        </w:rPr>
      </w:pPr>
      <w:r w:rsidRPr="00455CCD">
        <w:rPr>
          <w:sz w:val="20"/>
          <w:szCs w:val="20"/>
        </w:rPr>
        <w:t xml:space="preserve">(1) </w:t>
      </w:r>
      <w:r w:rsidRPr="00455CCD">
        <w:rPr>
          <w:i/>
          <w:iCs/>
          <w:sz w:val="20"/>
          <w:szCs w:val="20"/>
        </w:rPr>
        <w:t>Method 311 (appendix A to 40 CFR part 63).</w:t>
      </w:r>
      <w:r w:rsidRPr="00455CCD">
        <w:rPr>
          <w:sz w:val="20"/>
          <w:szCs w:val="20"/>
        </w:rPr>
        <w:t xml:space="preserve"> You may use Method 311 for determining the mass fraction of organic HAP. Use the procedures specified in paragraphs (a)(1)(i) and (ii) of this section when determining organic HAP content by Method 311.</w:t>
      </w:r>
    </w:p>
    <w:p w:rsidR="002039ED" w:rsidRPr="00455CCD" w:rsidRDefault="002039ED" w:rsidP="001E664D">
      <w:pPr>
        <w:pStyle w:val="NormalWeb"/>
        <w:rPr>
          <w:sz w:val="20"/>
          <w:szCs w:val="20"/>
        </w:rPr>
      </w:pPr>
      <w:r w:rsidRPr="00455CCD">
        <w:rPr>
          <w:sz w:val="20"/>
          <w:szCs w:val="20"/>
        </w:rPr>
        <w:t>(i) 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rsidR="002039ED" w:rsidRPr="00455CCD" w:rsidRDefault="002039ED" w:rsidP="001E664D">
      <w:pPr>
        <w:pStyle w:val="NormalWeb"/>
        <w:rPr>
          <w:sz w:val="20"/>
          <w:szCs w:val="20"/>
        </w:rPr>
      </w:pPr>
      <w:r w:rsidRPr="00455CCD">
        <w:rPr>
          <w:sz w:val="20"/>
          <w:szCs w:val="20"/>
        </w:rPr>
        <w:t>(ii) Calculate the total organic HAP content in the test material by adding up the individual organic HAP contents and truncating the result to three places after the decimal point (for example, 0.123).</w:t>
      </w:r>
    </w:p>
    <w:p w:rsidR="002039ED" w:rsidRPr="00455CCD" w:rsidRDefault="002039ED" w:rsidP="001E664D">
      <w:pPr>
        <w:pStyle w:val="NormalWeb"/>
        <w:rPr>
          <w:sz w:val="20"/>
          <w:szCs w:val="20"/>
        </w:rPr>
      </w:pPr>
      <w:r w:rsidRPr="00455CCD">
        <w:rPr>
          <w:sz w:val="20"/>
          <w:szCs w:val="20"/>
        </w:rPr>
        <w:t xml:space="preserve">(2) </w:t>
      </w:r>
      <w:r w:rsidRPr="00455CCD">
        <w:rPr>
          <w:i/>
          <w:iCs/>
          <w:sz w:val="20"/>
          <w:szCs w:val="20"/>
        </w:rPr>
        <w:t>Method 24 (appendix A to 40 CFR part 60).</w:t>
      </w:r>
      <w:r w:rsidRPr="00455CCD">
        <w:rPr>
          <w:sz w:val="20"/>
          <w:szCs w:val="20"/>
        </w:rPr>
        <w:t xml:space="preserve"> You may use Method 24 to determine the mass fraction of non-aqueous volatile matter of aluminum coatings and use that value as a substitute for mass fraction of organic HAP.</w:t>
      </w:r>
    </w:p>
    <w:p w:rsidR="002039ED" w:rsidRPr="00455CCD" w:rsidRDefault="002039ED" w:rsidP="001E664D">
      <w:pPr>
        <w:pStyle w:val="NormalWeb"/>
        <w:rPr>
          <w:sz w:val="20"/>
          <w:szCs w:val="20"/>
        </w:rPr>
      </w:pPr>
      <w:r w:rsidRPr="00455CCD">
        <w:rPr>
          <w:sz w:val="20"/>
          <w:szCs w:val="20"/>
        </w:rPr>
        <w:t xml:space="preserve">(3) </w:t>
      </w:r>
      <w:r w:rsidRPr="00455CCD">
        <w:rPr>
          <w:i/>
          <w:iCs/>
          <w:sz w:val="20"/>
          <w:szCs w:val="20"/>
        </w:rPr>
        <w:t>ASTM D1259-85 (Standard Test Method for Nonvolatile Content of Resins).</w:t>
      </w:r>
      <w:r w:rsidRPr="00455CCD">
        <w:rPr>
          <w:sz w:val="20"/>
          <w:szCs w:val="20"/>
        </w:rPr>
        <w:t xml:space="preserve"> You may use ASTM D1259-85 (available for purchase from ASTM) to measure the mass fraction of volatile matter of resins and gel coats for open molding operations and use that value as a substitute for mass fraction of organic HAP.</w:t>
      </w:r>
    </w:p>
    <w:p w:rsidR="002039ED" w:rsidRPr="00455CCD" w:rsidRDefault="002039ED" w:rsidP="001E664D">
      <w:pPr>
        <w:pStyle w:val="NormalWeb"/>
        <w:rPr>
          <w:sz w:val="20"/>
          <w:szCs w:val="20"/>
        </w:rPr>
      </w:pPr>
      <w:r w:rsidRPr="00455CCD">
        <w:rPr>
          <w:sz w:val="20"/>
          <w:szCs w:val="20"/>
        </w:rPr>
        <w:t xml:space="preserve">(4) </w:t>
      </w:r>
      <w:r w:rsidRPr="00455CCD">
        <w:rPr>
          <w:i/>
          <w:iCs/>
          <w:sz w:val="20"/>
          <w:szCs w:val="20"/>
        </w:rPr>
        <w:t>Alternative method.</w:t>
      </w:r>
      <w:r w:rsidRPr="00455CCD">
        <w:rPr>
          <w:sz w:val="20"/>
          <w:szCs w:val="20"/>
        </w:rPr>
        <w:t xml:space="preserve"> You may use an alternative test method for determining mass fraction of organic HAP if you obtain prior approval by the Administrator. You must follow the procedure in § 63.7(f) to submit an alternative test method for approval.</w:t>
      </w:r>
    </w:p>
    <w:p w:rsidR="002039ED" w:rsidRPr="00455CCD" w:rsidRDefault="002039ED" w:rsidP="001E664D">
      <w:pPr>
        <w:pStyle w:val="NormalWeb"/>
        <w:rPr>
          <w:sz w:val="20"/>
          <w:szCs w:val="20"/>
        </w:rPr>
      </w:pPr>
      <w:r w:rsidRPr="00455CCD">
        <w:rPr>
          <w:sz w:val="20"/>
          <w:szCs w:val="20"/>
        </w:rPr>
        <w:lastRenderedPageBreak/>
        <w:t xml:space="preserve">(5) </w:t>
      </w:r>
      <w:r w:rsidRPr="00455CCD">
        <w:rPr>
          <w:i/>
          <w:iCs/>
          <w:sz w:val="20"/>
          <w:szCs w:val="20"/>
        </w:rPr>
        <w:t>Information from the supplier or manufacturer of the material.</w:t>
      </w:r>
      <w:r w:rsidRPr="00455CCD">
        <w:rPr>
          <w:sz w:val="20"/>
          <w:szCs w:val="20"/>
        </w:rPr>
        <w:t xml:space="preserve"> You may rely on information other than that generated by the test methods specified in paragraphs (a)(1) through (4) of this section, such as manufacturer's formulation data, according to paragraphs (a)(5)(i) through (iii) of this section.</w:t>
      </w:r>
    </w:p>
    <w:p w:rsidR="002039ED" w:rsidRPr="00455CCD" w:rsidRDefault="002039ED" w:rsidP="001E664D">
      <w:pPr>
        <w:pStyle w:val="NormalWeb"/>
        <w:rPr>
          <w:sz w:val="20"/>
          <w:szCs w:val="20"/>
        </w:rPr>
      </w:pPr>
      <w:r w:rsidRPr="00455CCD">
        <w:rPr>
          <w:sz w:val="20"/>
          <w:szCs w:val="20"/>
        </w:rPr>
        <w:t>(i) 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rsidR="002039ED" w:rsidRPr="00455CCD" w:rsidRDefault="002039ED" w:rsidP="001E664D">
      <w:pPr>
        <w:pStyle w:val="NormalWeb"/>
        <w:rPr>
          <w:sz w:val="20"/>
          <w:szCs w:val="20"/>
        </w:rPr>
      </w:pPr>
      <w:r w:rsidRPr="00455CCD">
        <w:rPr>
          <w:sz w:val="20"/>
          <w:szCs w:val="20"/>
        </w:rPr>
        <w:t>(ii) 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rsidR="002039ED" w:rsidRPr="00455CCD" w:rsidRDefault="002039ED" w:rsidP="001E664D">
      <w:pPr>
        <w:pStyle w:val="NormalWeb"/>
        <w:rPr>
          <w:sz w:val="20"/>
          <w:szCs w:val="20"/>
        </w:rPr>
      </w:pPr>
      <w:r w:rsidRPr="00455CCD">
        <w:rPr>
          <w:sz w:val="20"/>
          <w:szCs w:val="20"/>
        </w:rPr>
        <w:t>(iii) 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rsidR="002039ED" w:rsidRPr="00455CCD" w:rsidRDefault="002039ED" w:rsidP="001E664D">
      <w:pPr>
        <w:pStyle w:val="NormalWeb"/>
        <w:rPr>
          <w:sz w:val="20"/>
          <w:szCs w:val="20"/>
        </w:rPr>
      </w:pPr>
      <w:r w:rsidRPr="00455CCD">
        <w:rPr>
          <w:sz w:val="20"/>
          <w:szCs w:val="20"/>
        </w:rPr>
        <w:t xml:space="preserve">(6) </w:t>
      </w:r>
      <w:r w:rsidRPr="00455CCD">
        <w:rPr>
          <w:i/>
          <w:iCs/>
          <w:sz w:val="20"/>
          <w:szCs w:val="20"/>
        </w:rPr>
        <w:t>Solvent blends.</w:t>
      </w:r>
      <w:r w:rsidRPr="00455CCD">
        <w:rPr>
          <w:sz w:val="20"/>
          <w:szCs w:val="20"/>
        </w:rPr>
        <w:t xml:space="preserve"> 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rsidR="002039ED" w:rsidRPr="00455CCD" w:rsidRDefault="002039ED" w:rsidP="001E664D">
      <w:pPr>
        <w:pStyle w:val="NormalWeb"/>
        <w:rPr>
          <w:sz w:val="20"/>
          <w:szCs w:val="20"/>
        </w:rPr>
      </w:pPr>
      <w:r w:rsidRPr="00455CCD">
        <w:rPr>
          <w:sz w:val="20"/>
          <w:szCs w:val="20"/>
        </w:rPr>
        <w:t xml:space="preserve">(b) </w:t>
      </w:r>
      <w:r w:rsidRPr="00455CCD">
        <w:rPr>
          <w:i/>
          <w:iCs/>
          <w:sz w:val="20"/>
          <w:szCs w:val="20"/>
        </w:rPr>
        <w:t>Determine the volume fraction solids in aluminum recreational boat surface coatings.</w:t>
      </w:r>
      <w:r w:rsidRPr="00455CCD">
        <w:rPr>
          <w:sz w:val="20"/>
          <w:szCs w:val="20"/>
        </w:rPr>
        <w:t xml:space="preserve"> To determine the volume fraction of coating solids (liters of coating solids per liter of coating) for each aluminum recreational boat surface coating, you must use one of the methods specified in paragraphs (b)(1) through (3) of this section. If the results obtained with paragraphs (b)(2) or (3) of this section do not to agree with those obtained according to paragraph (b)(1) of this section, you must use the results obtained with paragraph (b)(1) of this section to determine compliance.</w:t>
      </w:r>
    </w:p>
    <w:p w:rsidR="002039ED" w:rsidRPr="00455CCD" w:rsidRDefault="002039ED" w:rsidP="001E664D">
      <w:pPr>
        <w:pStyle w:val="NormalWeb"/>
        <w:rPr>
          <w:sz w:val="20"/>
          <w:szCs w:val="20"/>
        </w:rPr>
      </w:pPr>
      <w:r w:rsidRPr="00455CCD">
        <w:rPr>
          <w:sz w:val="20"/>
          <w:szCs w:val="20"/>
        </w:rPr>
        <w:t xml:space="preserve">(1) </w:t>
      </w:r>
      <w:r w:rsidRPr="00455CCD">
        <w:rPr>
          <w:i/>
          <w:iCs/>
          <w:sz w:val="20"/>
          <w:szCs w:val="20"/>
        </w:rPr>
        <w:t>ASTM Method D2697-86(1998) or D6093-97.</w:t>
      </w:r>
      <w:r w:rsidRPr="00455CCD">
        <w:rPr>
          <w:sz w:val="20"/>
          <w:szCs w:val="20"/>
        </w:rPr>
        <w:t xml:space="preserve"> You may use ASTM Method D2697-86(1998) or D6093-97 (available for purchase from ASTM) to determine the volume fraction of coating solids for each coating. Divide the nonvolatile volume percent obtained with the methods by 100 to calculate volume fraction of coating solids.</w:t>
      </w:r>
    </w:p>
    <w:p w:rsidR="002039ED" w:rsidRPr="00455CCD" w:rsidRDefault="002039ED" w:rsidP="001E664D">
      <w:pPr>
        <w:pStyle w:val="NormalWeb"/>
        <w:rPr>
          <w:sz w:val="20"/>
          <w:szCs w:val="20"/>
        </w:rPr>
      </w:pPr>
      <w:r w:rsidRPr="00455CCD">
        <w:rPr>
          <w:sz w:val="20"/>
          <w:szCs w:val="20"/>
        </w:rPr>
        <w:t xml:space="preserve">(2) </w:t>
      </w:r>
      <w:r w:rsidRPr="00455CCD">
        <w:rPr>
          <w:i/>
          <w:iCs/>
          <w:sz w:val="20"/>
          <w:szCs w:val="20"/>
        </w:rPr>
        <w:t>Information from the supplier or manufacturer of the material.</w:t>
      </w:r>
      <w:r w:rsidRPr="00455CCD">
        <w:rPr>
          <w:sz w:val="20"/>
          <w:szCs w:val="20"/>
        </w:rPr>
        <w:t xml:space="preserve"> You may obtain the volume fraction of coating solids for each coating from the supplier or manufacturer.</w:t>
      </w:r>
    </w:p>
    <w:p w:rsidR="002039ED" w:rsidRPr="00455CCD" w:rsidRDefault="002039ED" w:rsidP="001E664D">
      <w:pPr>
        <w:pStyle w:val="NormalWeb"/>
        <w:rPr>
          <w:sz w:val="20"/>
          <w:szCs w:val="20"/>
        </w:rPr>
      </w:pPr>
      <w:r w:rsidRPr="00455CCD">
        <w:rPr>
          <w:sz w:val="20"/>
          <w:szCs w:val="20"/>
        </w:rPr>
        <w:t xml:space="preserve">(3) </w:t>
      </w:r>
      <w:r w:rsidRPr="00455CCD">
        <w:rPr>
          <w:i/>
          <w:iCs/>
          <w:sz w:val="20"/>
          <w:szCs w:val="20"/>
        </w:rPr>
        <w:t>Calculation of volume fraction of coating solids.</w:t>
      </w:r>
      <w:r w:rsidRPr="00455CCD">
        <w:rPr>
          <w:sz w:val="20"/>
          <w:szCs w:val="20"/>
        </w:rPr>
        <w:t xml:space="preserve"> You may determine it using equation 1 of this section:</w:t>
      </w:r>
    </w:p>
    <w:p w:rsidR="002039ED" w:rsidRPr="00455CCD" w:rsidRDefault="002039ED" w:rsidP="001E664D">
      <w:pPr>
        <w:rPr>
          <w:sz w:val="20"/>
          <w:szCs w:val="20"/>
        </w:rPr>
      </w:pPr>
      <w:r w:rsidRPr="00455CCD">
        <w:rPr>
          <w:noProof/>
          <w:sz w:val="20"/>
          <w:szCs w:val="20"/>
        </w:rPr>
        <w:drawing>
          <wp:inline distT="0" distB="0" distL="0" distR="0">
            <wp:extent cx="1914525" cy="438150"/>
            <wp:effectExtent l="19050" t="0" r="9525" b="0"/>
            <wp:docPr id="51" name="Picture 51" descr="eCFR graphic 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CFR graphic er22au01.019.gif"/>
                    <pic:cNvPicPr>
                      <a:picLocks noChangeAspect="1" noChangeArrowheads="1"/>
                    </pic:cNvPicPr>
                  </pic:nvPicPr>
                  <pic:blipFill>
                    <a:blip r:embed="rId73" cstate="print"/>
                    <a:srcRect/>
                    <a:stretch>
                      <a:fillRect/>
                    </a:stretch>
                  </pic:blipFill>
                  <pic:spPr bwMode="auto">
                    <a:xfrm>
                      <a:off x="0" y="0"/>
                      <a:ext cx="1914525" cy="438150"/>
                    </a:xfrm>
                    <a:prstGeom prst="rect">
                      <a:avLst/>
                    </a:prstGeom>
                    <a:noFill/>
                    <a:ln w="9525">
                      <a:noFill/>
                      <a:miter lim="800000"/>
                      <a:headEnd/>
                      <a:tailEnd/>
                    </a:ln>
                  </pic:spPr>
                </pic:pic>
              </a:graphicData>
            </a:graphic>
          </wp:inline>
        </w:drawing>
      </w:r>
    </w:p>
    <w:p w:rsidR="002039ED" w:rsidRPr="00455CCD" w:rsidRDefault="002039ED" w:rsidP="001E664D">
      <w:pPr>
        <w:pStyle w:val="fp"/>
        <w:rPr>
          <w:sz w:val="20"/>
          <w:szCs w:val="20"/>
        </w:rPr>
      </w:pPr>
      <w:r w:rsidRPr="00455CCD">
        <w:rPr>
          <w:sz w:val="20"/>
          <w:szCs w:val="20"/>
        </w:rPr>
        <w:t>Where:</w:t>
      </w:r>
    </w:p>
    <w:p w:rsidR="002039ED" w:rsidRPr="00455CCD" w:rsidRDefault="002039ED" w:rsidP="001E664D">
      <w:pPr>
        <w:pStyle w:val="fp-2"/>
        <w:rPr>
          <w:sz w:val="20"/>
          <w:szCs w:val="20"/>
        </w:rPr>
      </w:pPr>
      <w:r w:rsidRPr="00455CCD">
        <w:rPr>
          <w:sz w:val="20"/>
          <w:szCs w:val="20"/>
        </w:rPr>
        <w:t>Solids=volume fraction of coating solids, liters coating solids per liter coating.</w:t>
      </w:r>
    </w:p>
    <w:p w:rsidR="002039ED" w:rsidRPr="00455CCD" w:rsidRDefault="002039ED" w:rsidP="001E664D">
      <w:pPr>
        <w:pStyle w:val="fp-2"/>
        <w:rPr>
          <w:sz w:val="20"/>
          <w:szCs w:val="20"/>
        </w:rPr>
      </w:pPr>
      <w:r w:rsidRPr="00455CCD">
        <w:rPr>
          <w:sz w:val="20"/>
          <w:szCs w:val="20"/>
          <w:vertAlign w:val="superscript"/>
        </w:rPr>
        <w:t>m</w:t>
      </w:r>
      <w:r w:rsidRPr="00455CCD">
        <w:rPr>
          <w:sz w:val="20"/>
          <w:szCs w:val="20"/>
        </w:rPr>
        <w:t xml:space="preserve"> volatiles=Total volatile matter content of the coating, including organic HAP, volatile organic compounds, water, and exempt compounds, determined according to Method 24 in appendix A of 40 CFR part 60, grams volatile matter per liter coating.</w:t>
      </w:r>
    </w:p>
    <w:p w:rsidR="002039ED" w:rsidRPr="00455CCD" w:rsidRDefault="002039ED" w:rsidP="001E664D">
      <w:pPr>
        <w:pStyle w:val="fp-2"/>
        <w:rPr>
          <w:sz w:val="20"/>
          <w:szCs w:val="20"/>
        </w:rPr>
      </w:pPr>
      <w:r w:rsidRPr="00455CCD">
        <w:rPr>
          <w:sz w:val="20"/>
          <w:szCs w:val="20"/>
        </w:rPr>
        <w:lastRenderedPageBreak/>
        <w:t>D</w:t>
      </w:r>
      <w:r w:rsidRPr="00455CCD">
        <w:rPr>
          <w:sz w:val="20"/>
          <w:szCs w:val="20"/>
          <w:vertAlign w:val="subscript"/>
        </w:rPr>
        <w:t>avg</w:t>
      </w:r>
      <w:r w:rsidRPr="00455CCD">
        <w:rPr>
          <w:sz w:val="20"/>
          <w:szCs w:val="20"/>
        </w:rPr>
        <w:t xml:space="preserve">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rsidR="002039ED" w:rsidRPr="00455CCD" w:rsidRDefault="002039ED" w:rsidP="001E664D">
      <w:pPr>
        <w:pStyle w:val="NormalWeb"/>
        <w:rPr>
          <w:sz w:val="20"/>
          <w:szCs w:val="20"/>
        </w:rPr>
      </w:pPr>
      <w:r w:rsidRPr="00455CCD">
        <w:rPr>
          <w:sz w:val="20"/>
          <w:szCs w:val="20"/>
        </w:rPr>
        <w:t xml:space="preserve">(c) </w:t>
      </w:r>
      <w:r w:rsidRPr="00455CCD">
        <w:rPr>
          <w:i/>
          <w:iCs/>
          <w:sz w:val="20"/>
          <w:szCs w:val="20"/>
        </w:rPr>
        <w:t>Determine the density of each aluminum recreational boat wipedown solvent and surface coating.</w:t>
      </w:r>
      <w:r w:rsidRPr="00455CCD">
        <w:rPr>
          <w:sz w:val="20"/>
          <w:szCs w:val="20"/>
        </w:rPr>
        <w:t xml:space="preserve"> Determine the density of all aluminum recreational boat wipedown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rsidR="002039ED" w:rsidRPr="00455CCD" w:rsidRDefault="002039ED" w:rsidP="001E664D">
      <w:pPr>
        <w:pStyle w:val="Heading2"/>
        <w:rPr>
          <w:rFonts w:ascii="Times New Roman" w:hAnsi="Times New Roman" w:cs="Times New Roman"/>
          <w:color w:val="auto"/>
          <w:sz w:val="20"/>
          <w:szCs w:val="20"/>
        </w:rPr>
      </w:pPr>
      <w:bookmarkStart w:id="40" w:name="40:13.0.1.1.1.28.368"/>
      <w:bookmarkEnd w:id="40"/>
      <w:r w:rsidRPr="00455CCD">
        <w:rPr>
          <w:rFonts w:ascii="Times New Roman" w:hAnsi="Times New Roman" w:cs="Times New Roman"/>
          <w:color w:val="auto"/>
          <w:sz w:val="20"/>
          <w:szCs w:val="20"/>
        </w:rPr>
        <w:t>Notifications, Reports, and Records</w:t>
      </w:r>
    </w:p>
    <w:p w:rsidR="002039ED" w:rsidRPr="00455CCD" w:rsidRDefault="002039ED" w:rsidP="001E664D">
      <w:pPr>
        <w:pStyle w:val="Heading2"/>
        <w:rPr>
          <w:rFonts w:ascii="Times New Roman" w:hAnsi="Times New Roman" w:cs="Times New Roman"/>
          <w:color w:val="auto"/>
          <w:sz w:val="20"/>
          <w:szCs w:val="20"/>
        </w:rPr>
      </w:pPr>
      <w:bookmarkStart w:id="41" w:name="40:13.0.1.1.1.28.368.31"/>
      <w:bookmarkEnd w:id="41"/>
      <w:r w:rsidRPr="00455CCD">
        <w:rPr>
          <w:rFonts w:ascii="Times New Roman" w:hAnsi="Times New Roman" w:cs="Times New Roman"/>
          <w:color w:val="auto"/>
          <w:sz w:val="20"/>
          <w:szCs w:val="20"/>
        </w:rPr>
        <w:t>§ 63.5761   What notifications must I submit and when?</w:t>
      </w:r>
    </w:p>
    <w:p w:rsidR="002039ED" w:rsidRPr="00455CCD" w:rsidRDefault="002039ED" w:rsidP="001E664D">
      <w:pPr>
        <w:pStyle w:val="NormalWeb"/>
        <w:rPr>
          <w:sz w:val="20"/>
          <w:szCs w:val="20"/>
        </w:rPr>
      </w:pPr>
      <w:r w:rsidRPr="00455CCD">
        <w:rPr>
          <w:sz w:val="20"/>
          <w:szCs w:val="20"/>
        </w:rPr>
        <w:t>(a) You must submit all of the notifications in Table 7 to this subpart that apply to you by the dates in the table. The notifications are described more fully in 40 CFR part 63, subpart A, General Provisions, referenced in Table 8 to this subpart.</w:t>
      </w:r>
    </w:p>
    <w:p w:rsidR="002039ED" w:rsidRPr="00455CCD" w:rsidRDefault="002039ED" w:rsidP="001E664D">
      <w:pPr>
        <w:pStyle w:val="NormalWeb"/>
        <w:rPr>
          <w:sz w:val="20"/>
          <w:szCs w:val="20"/>
        </w:rPr>
      </w:pPr>
      <w:r w:rsidRPr="00455CCD">
        <w:rPr>
          <w:sz w:val="20"/>
          <w:szCs w:val="20"/>
        </w:rPr>
        <w:t>(b) If you change any information submitted in any notification, you must submit the changes in writing to the Administrator within 15 calendar days after the change.</w:t>
      </w:r>
    </w:p>
    <w:p w:rsidR="002039ED" w:rsidRPr="00455CCD" w:rsidRDefault="002039ED" w:rsidP="001E664D">
      <w:pPr>
        <w:pStyle w:val="Heading2"/>
        <w:rPr>
          <w:rFonts w:ascii="Times New Roman" w:hAnsi="Times New Roman" w:cs="Times New Roman"/>
          <w:color w:val="auto"/>
          <w:sz w:val="20"/>
          <w:szCs w:val="20"/>
        </w:rPr>
      </w:pPr>
      <w:bookmarkStart w:id="42" w:name="40:13.0.1.1.1.28.368.32"/>
      <w:bookmarkEnd w:id="42"/>
      <w:r w:rsidRPr="00455CCD">
        <w:rPr>
          <w:rFonts w:ascii="Times New Roman" w:hAnsi="Times New Roman" w:cs="Times New Roman"/>
          <w:color w:val="auto"/>
          <w:sz w:val="20"/>
          <w:szCs w:val="20"/>
        </w:rPr>
        <w:t>§ 63.5764   What reports must I submit and when?</w:t>
      </w:r>
    </w:p>
    <w:p w:rsidR="002039ED" w:rsidRPr="00455CCD" w:rsidRDefault="002039ED" w:rsidP="001E664D">
      <w:pPr>
        <w:pStyle w:val="NormalWeb"/>
        <w:rPr>
          <w:sz w:val="20"/>
          <w:szCs w:val="20"/>
        </w:rPr>
      </w:pPr>
      <w:r w:rsidRPr="00455CCD">
        <w:rPr>
          <w:sz w:val="20"/>
          <w:szCs w:val="20"/>
        </w:rPr>
        <w:t>(a) You must submit the applicable reports specified in paragraphs (b) through (e) of this section. To the extent possible, you must organize each report according to the operations covered by this subpart and the compliance procedure followed for that operation.</w:t>
      </w:r>
    </w:p>
    <w:p w:rsidR="002039ED" w:rsidRPr="00455CCD" w:rsidRDefault="002039ED" w:rsidP="001E664D">
      <w:pPr>
        <w:pStyle w:val="NormalWeb"/>
        <w:rPr>
          <w:sz w:val="20"/>
          <w:szCs w:val="20"/>
        </w:rPr>
      </w:pPr>
      <w:r w:rsidRPr="00455CCD">
        <w:rPr>
          <w:sz w:val="20"/>
          <w:szCs w:val="20"/>
        </w:rPr>
        <w:t>(b) Unless the Administrator has approved a different schedule for submission of reports under § 63.10(a), you must submit each report by the dates in paragraphs (b)(1) through (5) of this section.</w:t>
      </w:r>
    </w:p>
    <w:p w:rsidR="002039ED" w:rsidRPr="00455CCD" w:rsidRDefault="002039ED" w:rsidP="001E664D">
      <w:pPr>
        <w:pStyle w:val="NormalWeb"/>
        <w:rPr>
          <w:sz w:val="20"/>
          <w:szCs w:val="20"/>
        </w:rPr>
      </w:pPr>
      <w:r w:rsidRPr="00455CCD">
        <w:rPr>
          <w:sz w:val="20"/>
          <w:szCs w:val="20"/>
        </w:rPr>
        <w:t>(1) 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 63.5695 and ending on June 30 or December 31, whichever date is the first date following the end of the first 12-month period after the compliance date that is specified for your source in § 63.5695. If your source is controlled by an add-on control device, the first compliance report must cover the period beginning on the compliance date specified for your source in § 63.5695 and ending on June 30 or December 31, whichever date is the first date following the end of the first calendar half after the compliance date that is specified for your source in § 63.5695.</w:t>
      </w:r>
    </w:p>
    <w:p w:rsidR="002039ED" w:rsidRPr="00455CCD" w:rsidRDefault="002039ED" w:rsidP="001E664D">
      <w:pPr>
        <w:pStyle w:val="NormalWeb"/>
        <w:rPr>
          <w:sz w:val="20"/>
          <w:szCs w:val="20"/>
        </w:rPr>
      </w:pPr>
      <w:r w:rsidRPr="00455CCD">
        <w:rPr>
          <w:sz w:val="20"/>
          <w:szCs w:val="20"/>
        </w:rPr>
        <w:t>(2) The first compliance report must be postmarked or delivered no later than 60 calendar days after the end of the compliance reporting period specified in paragraph (b)(1) of this section.</w:t>
      </w:r>
    </w:p>
    <w:p w:rsidR="002039ED" w:rsidRPr="00455CCD" w:rsidRDefault="002039ED" w:rsidP="001E664D">
      <w:pPr>
        <w:pStyle w:val="NormalWeb"/>
        <w:rPr>
          <w:sz w:val="20"/>
          <w:szCs w:val="20"/>
        </w:rPr>
      </w:pPr>
      <w:r w:rsidRPr="00455CCD">
        <w:rPr>
          <w:sz w:val="20"/>
          <w:szCs w:val="20"/>
        </w:rPr>
        <w:t>(3) Each subsequent compliance report must cover the applicable semiannual reporting period from January 1 through June 30 or from July 1 through December 31.</w:t>
      </w:r>
    </w:p>
    <w:p w:rsidR="002039ED" w:rsidRPr="00455CCD" w:rsidRDefault="002039ED" w:rsidP="001E664D">
      <w:pPr>
        <w:pStyle w:val="NormalWeb"/>
        <w:rPr>
          <w:sz w:val="20"/>
          <w:szCs w:val="20"/>
        </w:rPr>
      </w:pPr>
      <w:r w:rsidRPr="00455CCD">
        <w:rPr>
          <w:sz w:val="20"/>
          <w:szCs w:val="20"/>
        </w:rPr>
        <w:t>(4) Each subsequent compliance report must be postmarked or delivered no later than 60 calendar days after the end of the semiannual reporting period.</w:t>
      </w:r>
    </w:p>
    <w:p w:rsidR="002039ED" w:rsidRPr="00455CCD" w:rsidRDefault="002039ED" w:rsidP="001E664D">
      <w:pPr>
        <w:pStyle w:val="NormalWeb"/>
        <w:rPr>
          <w:sz w:val="20"/>
          <w:szCs w:val="20"/>
        </w:rPr>
      </w:pPr>
      <w:r w:rsidRPr="00455CCD">
        <w:rPr>
          <w:sz w:val="20"/>
          <w:szCs w:val="20"/>
        </w:rPr>
        <w:t>(5) 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rsidR="002039ED" w:rsidRPr="00455CCD" w:rsidRDefault="002039ED" w:rsidP="001E664D">
      <w:pPr>
        <w:pStyle w:val="NormalWeb"/>
        <w:rPr>
          <w:sz w:val="20"/>
          <w:szCs w:val="20"/>
        </w:rPr>
      </w:pPr>
      <w:r w:rsidRPr="00455CCD">
        <w:rPr>
          <w:sz w:val="20"/>
          <w:szCs w:val="20"/>
        </w:rPr>
        <w:t>(c) The compliance report must include the information specified in paragraphs (c)(1) through (7) of this section.</w:t>
      </w:r>
    </w:p>
    <w:p w:rsidR="002039ED" w:rsidRPr="00455CCD" w:rsidRDefault="002039ED" w:rsidP="001E664D">
      <w:pPr>
        <w:pStyle w:val="NormalWeb"/>
        <w:rPr>
          <w:sz w:val="20"/>
          <w:szCs w:val="20"/>
        </w:rPr>
      </w:pPr>
      <w:r w:rsidRPr="00455CCD">
        <w:rPr>
          <w:sz w:val="20"/>
          <w:szCs w:val="20"/>
        </w:rPr>
        <w:lastRenderedPageBreak/>
        <w:t>(1) Company name and address.</w:t>
      </w:r>
    </w:p>
    <w:p w:rsidR="002039ED" w:rsidRPr="00455CCD" w:rsidRDefault="002039ED" w:rsidP="001E664D">
      <w:pPr>
        <w:pStyle w:val="NormalWeb"/>
        <w:rPr>
          <w:sz w:val="20"/>
          <w:szCs w:val="20"/>
        </w:rPr>
      </w:pPr>
      <w:r w:rsidRPr="00455CCD">
        <w:rPr>
          <w:sz w:val="20"/>
          <w:szCs w:val="20"/>
        </w:rPr>
        <w:t>(2) A statement by a responsible official with that official's name, title, and signature, certifying the truth, accuracy, and completeness of the report.</w:t>
      </w:r>
    </w:p>
    <w:p w:rsidR="002039ED" w:rsidRPr="00455CCD" w:rsidRDefault="002039ED" w:rsidP="001E664D">
      <w:pPr>
        <w:pStyle w:val="NormalWeb"/>
        <w:rPr>
          <w:sz w:val="20"/>
          <w:szCs w:val="20"/>
        </w:rPr>
      </w:pPr>
      <w:r w:rsidRPr="00455CCD">
        <w:rPr>
          <w:sz w:val="20"/>
          <w:szCs w:val="20"/>
        </w:rPr>
        <w:t>(3) The date of the report and the beginning and ending dates of the reporting period.</w:t>
      </w:r>
    </w:p>
    <w:p w:rsidR="002039ED" w:rsidRPr="00455CCD" w:rsidRDefault="002039ED" w:rsidP="001E664D">
      <w:pPr>
        <w:pStyle w:val="NormalWeb"/>
        <w:rPr>
          <w:sz w:val="20"/>
          <w:szCs w:val="20"/>
        </w:rPr>
      </w:pPr>
      <w:r w:rsidRPr="00455CCD">
        <w:rPr>
          <w:sz w:val="20"/>
          <w:szCs w:val="20"/>
        </w:rPr>
        <w:t>(4) A description of any changes in the manufacturing process since the last compliance report.</w:t>
      </w:r>
    </w:p>
    <w:p w:rsidR="002039ED" w:rsidRPr="00455CCD" w:rsidRDefault="002039ED" w:rsidP="001E664D">
      <w:pPr>
        <w:pStyle w:val="NormalWeb"/>
        <w:rPr>
          <w:sz w:val="20"/>
          <w:szCs w:val="20"/>
        </w:rPr>
      </w:pPr>
      <w:r w:rsidRPr="00455CCD">
        <w:rPr>
          <w:sz w:val="20"/>
          <w:szCs w:val="20"/>
        </w:rPr>
        <w:t>(5) 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rsidR="002039ED" w:rsidRPr="00455CCD" w:rsidRDefault="002039ED" w:rsidP="001E664D">
      <w:pPr>
        <w:pStyle w:val="NormalWeb"/>
        <w:rPr>
          <w:sz w:val="20"/>
          <w:szCs w:val="20"/>
        </w:rPr>
      </w:pPr>
      <w:r w:rsidRPr="00455CCD">
        <w:rPr>
          <w:sz w:val="20"/>
          <w:szCs w:val="20"/>
        </w:rPr>
        <w:t>(6) If you were in compliance with the emission limits and work practice standards during the reporting period, you must include a statement to that effect.</w:t>
      </w:r>
    </w:p>
    <w:p w:rsidR="002039ED" w:rsidRPr="00455CCD" w:rsidRDefault="002039ED" w:rsidP="001E664D">
      <w:pPr>
        <w:pStyle w:val="NormalWeb"/>
        <w:rPr>
          <w:sz w:val="20"/>
          <w:szCs w:val="20"/>
        </w:rPr>
      </w:pPr>
      <w:r w:rsidRPr="00455CCD">
        <w:rPr>
          <w:sz w:val="20"/>
          <w:szCs w:val="20"/>
        </w:rPr>
        <w:t>(7) If you deviated from an emission limit or work practice standard during the reporting period, you must also include the information listed in paragraphs (c)(7)(i) through (iv) of this section in the semiannual compliance report.</w:t>
      </w:r>
    </w:p>
    <w:p w:rsidR="002039ED" w:rsidRPr="00455CCD" w:rsidRDefault="002039ED" w:rsidP="001E664D">
      <w:pPr>
        <w:pStyle w:val="NormalWeb"/>
        <w:rPr>
          <w:sz w:val="20"/>
          <w:szCs w:val="20"/>
        </w:rPr>
      </w:pPr>
      <w:r w:rsidRPr="00455CCD">
        <w:rPr>
          <w:sz w:val="20"/>
          <w:szCs w:val="20"/>
        </w:rPr>
        <w:t>(i) A description of the operation involved in the deviation.</w:t>
      </w:r>
    </w:p>
    <w:p w:rsidR="002039ED" w:rsidRPr="00455CCD" w:rsidRDefault="002039ED" w:rsidP="001E664D">
      <w:pPr>
        <w:pStyle w:val="NormalWeb"/>
        <w:rPr>
          <w:sz w:val="20"/>
          <w:szCs w:val="20"/>
        </w:rPr>
      </w:pPr>
      <w:r w:rsidRPr="00455CCD">
        <w:rPr>
          <w:sz w:val="20"/>
          <w:szCs w:val="20"/>
        </w:rPr>
        <w:t>(ii) The quantity, organic HAP content, and application method (if relevant) of the materials involved in the deviation.</w:t>
      </w:r>
    </w:p>
    <w:p w:rsidR="002039ED" w:rsidRPr="00455CCD" w:rsidRDefault="002039ED" w:rsidP="001E664D">
      <w:pPr>
        <w:pStyle w:val="NormalWeb"/>
        <w:rPr>
          <w:sz w:val="20"/>
          <w:szCs w:val="20"/>
        </w:rPr>
      </w:pPr>
      <w:r w:rsidRPr="00455CCD">
        <w:rPr>
          <w:sz w:val="20"/>
          <w:szCs w:val="20"/>
        </w:rPr>
        <w:t>(iii) A description of any corrective action you took to minimize the deviation and actions you have taken to prevent it from happening again.</w:t>
      </w:r>
    </w:p>
    <w:p w:rsidR="002039ED" w:rsidRPr="00455CCD" w:rsidRDefault="002039ED" w:rsidP="001E664D">
      <w:pPr>
        <w:pStyle w:val="NormalWeb"/>
        <w:rPr>
          <w:sz w:val="20"/>
          <w:szCs w:val="20"/>
        </w:rPr>
      </w:pPr>
      <w:r w:rsidRPr="00455CCD">
        <w:rPr>
          <w:sz w:val="20"/>
          <w:szCs w:val="20"/>
        </w:rPr>
        <w:t>(iv) A statement of whether or not your facility was in compliance for the 12-month averaging period that ended at the end of the reporting period.</w:t>
      </w:r>
    </w:p>
    <w:p w:rsidR="002039ED" w:rsidRPr="00455CCD" w:rsidRDefault="002039ED" w:rsidP="001E664D">
      <w:pPr>
        <w:pStyle w:val="NormalWeb"/>
        <w:rPr>
          <w:sz w:val="20"/>
          <w:szCs w:val="20"/>
        </w:rPr>
      </w:pPr>
      <w:r w:rsidRPr="00455CCD">
        <w:rPr>
          <w:sz w:val="20"/>
          <w:szCs w:val="20"/>
        </w:rPr>
        <w:t>(d) If your facility has an add-on control device, you must submit semiannual compliance reports and quarterly excess emission reports as specified in § 63.10(e). The contents of the reports are specified in § 63.10(e).</w:t>
      </w:r>
    </w:p>
    <w:p w:rsidR="002039ED" w:rsidRPr="00455CCD" w:rsidRDefault="002039ED" w:rsidP="001E664D">
      <w:pPr>
        <w:pStyle w:val="NormalWeb"/>
        <w:rPr>
          <w:sz w:val="20"/>
          <w:szCs w:val="20"/>
        </w:rPr>
      </w:pPr>
      <w:r w:rsidRPr="00455CCD">
        <w:rPr>
          <w:sz w:val="20"/>
          <w:szCs w:val="20"/>
        </w:rPr>
        <w:t>(e) If your facility has an add-on control device, you must complete a startup, shutdown, and malfunction plan as specified in § 63.6(e), and you must submit the startup, shutdown, and malfunction reports specified in § 63.10(e)(5).</w:t>
      </w:r>
    </w:p>
    <w:p w:rsidR="002039ED" w:rsidRPr="00455CCD" w:rsidRDefault="002039ED" w:rsidP="001E664D">
      <w:pPr>
        <w:pStyle w:val="Heading2"/>
        <w:rPr>
          <w:rFonts w:ascii="Times New Roman" w:hAnsi="Times New Roman" w:cs="Times New Roman"/>
          <w:color w:val="auto"/>
          <w:sz w:val="20"/>
          <w:szCs w:val="20"/>
        </w:rPr>
      </w:pPr>
      <w:bookmarkStart w:id="43" w:name="40:13.0.1.1.1.28.368.33"/>
      <w:bookmarkEnd w:id="43"/>
      <w:r w:rsidRPr="00455CCD">
        <w:rPr>
          <w:rFonts w:ascii="Times New Roman" w:hAnsi="Times New Roman" w:cs="Times New Roman"/>
          <w:color w:val="auto"/>
          <w:sz w:val="20"/>
          <w:szCs w:val="20"/>
        </w:rPr>
        <w:t>§ 63.5767   What records must I keep?</w:t>
      </w:r>
    </w:p>
    <w:p w:rsidR="002039ED" w:rsidRPr="00455CCD" w:rsidRDefault="002039ED" w:rsidP="001E664D">
      <w:pPr>
        <w:pStyle w:val="NormalWeb"/>
        <w:rPr>
          <w:sz w:val="20"/>
          <w:szCs w:val="20"/>
        </w:rPr>
      </w:pPr>
      <w:r w:rsidRPr="00455CCD">
        <w:rPr>
          <w:sz w:val="20"/>
          <w:szCs w:val="20"/>
        </w:rPr>
        <w:t>You must keep the records specified in paragraphs (a) through (d) of this section in addition to records specified in individual sections of this subpart.</w:t>
      </w:r>
    </w:p>
    <w:p w:rsidR="002039ED" w:rsidRPr="00455CCD" w:rsidRDefault="002039ED" w:rsidP="001E664D">
      <w:pPr>
        <w:pStyle w:val="NormalWeb"/>
        <w:rPr>
          <w:sz w:val="20"/>
          <w:szCs w:val="20"/>
        </w:rPr>
      </w:pPr>
      <w:r w:rsidRPr="00455CCD">
        <w:rPr>
          <w:sz w:val="20"/>
          <w:szCs w:val="20"/>
        </w:rPr>
        <w:t>(a) You must keep a copy of each notification and report that you submitted to comply with this subpart.</w:t>
      </w:r>
    </w:p>
    <w:p w:rsidR="002039ED" w:rsidRPr="00455CCD" w:rsidRDefault="002039ED" w:rsidP="001E664D">
      <w:pPr>
        <w:pStyle w:val="NormalWeb"/>
        <w:rPr>
          <w:sz w:val="20"/>
          <w:szCs w:val="20"/>
        </w:rPr>
      </w:pPr>
      <w:r w:rsidRPr="00455CCD">
        <w:rPr>
          <w:sz w:val="20"/>
          <w:szCs w:val="20"/>
        </w:rPr>
        <w:t>(b) You must keep all documentation supporting any notification or report that you submitted.</w:t>
      </w:r>
    </w:p>
    <w:p w:rsidR="002039ED" w:rsidRPr="00455CCD" w:rsidRDefault="002039ED" w:rsidP="001E664D">
      <w:pPr>
        <w:pStyle w:val="NormalWeb"/>
        <w:rPr>
          <w:sz w:val="20"/>
          <w:szCs w:val="20"/>
        </w:rPr>
      </w:pPr>
      <w:r w:rsidRPr="00455CCD">
        <w:rPr>
          <w:sz w:val="20"/>
          <w:szCs w:val="20"/>
        </w:rPr>
        <w:t>(c) 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rsidR="002039ED" w:rsidRPr="00455CCD" w:rsidRDefault="002039ED" w:rsidP="001E664D">
      <w:pPr>
        <w:pStyle w:val="NormalWeb"/>
        <w:rPr>
          <w:sz w:val="20"/>
          <w:szCs w:val="20"/>
        </w:rPr>
      </w:pPr>
      <w:r w:rsidRPr="00455CCD">
        <w:rPr>
          <w:sz w:val="20"/>
          <w:szCs w:val="20"/>
        </w:rPr>
        <w:t>(1) 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nonatomized methods.</w:t>
      </w:r>
    </w:p>
    <w:p w:rsidR="002039ED" w:rsidRPr="00455CCD" w:rsidRDefault="002039ED" w:rsidP="001E664D">
      <w:pPr>
        <w:pStyle w:val="NormalWeb"/>
        <w:rPr>
          <w:sz w:val="20"/>
          <w:szCs w:val="20"/>
        </w:rPr>
      </w:pPr>
      <w:r w:rsidRPr="00455CCD">
        <w:rPr>
          <w:sz w:val="20"/>
          <w:szCs w:val="20"/>
        </w:rPr>
        <w:lastRenderedPageBreak/>
        <w:t>(2) The total amount of each aluminum coating used per month (including primers, top coats, clear coats, thinners, and activators) and the weighted-average organic HAP content as determined in § 63.5752.</w:t>
      </w:r>
    </w:p>
    <w:p w:rsidR="002039ED" w:rsidRPr="00455CCD" w:rsidRDefault="002039ED" w:rsidP="001E664D">
      <w:pPr>
        <w:pStyle w:val="NormalWeb"/>
        <w:rPr>
          <w:sz w:val="20"/>
          <w:szCs w:val="20"/>
        </w:rPr>
      </w:pPr>
      <w:r w:rsidRPr="00455CCD">
        <w:rPr>
          <w:sz w:val="20"/>
          <w:szCs w:val="20"/>
        </w:rPr>
        <w:t>(3) The total amount of each aluminum wipedown solvent used per month and the weighted-average organic HAP content as determined in § 63.5749.</w:t>
      </w:r>
    </w:p>
    <w:p w:rsidR="002039ED" w:rsidRPr="00455CCD" w:rsidRDefault="002039ED" w:rsidP="001E664D">
      <w:pPr>
        <w:pStyle w:val="NormalWeb"/>
        <w:rPr>
          <w:sz w:val="20"/>
          <w:szCs w:val="20"/>
        </w:rPr>
      </w:pPr>
      <w:r w:rsidRPr="00455CCD">
        <w:rPr>
          <w:sz w:val="20"/>
          <w:szCs w:val="20"/>
        </w:rPr>
        <w:t>(d) If your facility has an add-on control device, you must keep the records specified in § 63.10(b) relative to control device startup, shut down, and malfunction events; control device performance tests; and continuous monitoring system performance evaluations.</w:t>
      </w:r>
    </w:p>
    <w:p w:rsidR="002039ED" w:rsidRPr="00455CCD" w:rsidRDefault="002039ED" w:rsidP="001E664D">
      <w:pPr>
        <w:pStyle w:val="Heading2"/>
        <w:rPr>
          <w:rFonts w:ascii="Times New Roman" w:hAnsi="Times New Roman" w:cs="Times New Roman"/>
          <w:color w:val="auto"/>
          <w:sz w:val="20"/>
          <w:szCs w:val="20"/>
        </w:rPr>
      </w:pPr>
      <w:bookmarkStart w:id="44" w:name="40:13.0.1.1.1.28.368.34"/>
      <w:bookmarkEnd w:id="44"/>
      <w:r w:rsidRPr="00455CCD">
        <w:rPr>
          <w:rFonts w:ascii="Times New Roman" w:hAnsi="Times New Roman" w:cs="Times New Roman"/>
          <w:color w:val="auto"/>
          <w:sz w:val="20"/>
          <w:szCs w:val="20"/>
        </w:rPr>
        <w:t>§ 63.5770   In what form and for how long must I keep my records?</w:t>
      </w:r>
    </w:p>
    <w:p w:rsidR="002039ED" w:rsidRPr="00455CCD" w:rsidRDefault="002039ED" w:rsidP="001E664D">
      <w:pPr>
        <w:pStyle w:val="NormalWeb"/>
        <w:rPr>
          <w:sz w:val="20"/>
          <w:szCs w:val="20"/>
        </w:rPr>
      </w:pPr>
      <w:r w:rsidRPr="00455CCD">
        <w:rPr>
          <w:sz w:val="20"/>
          <w:szCs w:val="20"/>
        </w:rPr>
        <w:t>(a) Your records must be readily available and in a form so they can be easily inspected and reviewed.</w:t>
      </w:r>
    </w:p>
    <w:p w:rsidR="002039ED" w:rsidRPr="00455CCD" w:rsidRDefault="002039ED" w:rsidP="001E664D">
      <w:pPr>
        <w:pStyle w:val="NormalWeb"/>
        <w:rPr>
          <w:sz w:val="20"/>
          <w:szCs w:val="20"/>
        </w:rPr>
      </w:pPr>
      <w:r w:rsidRPr="00455CCD">
        <w:rPr>
          <w:sz w:val="20"/>
          <w:szCs w:val="20"/>
        </w:rPr>
        <w:t>(b) You must keep each record for 5 years following the date that each record is generated.</w:t>
      </w:r>
    </w:p>
    <w:p w:rsidR="002039ED" w:rsidRPr="00455CCD" w:rsidRDefault="002039ED" w:rsidP="001E664D">
      <w:pPr>
        <w:pStyle w:val="NormalWeb"/>
        <w:rPr>
          <w:sz w:val="20"/>
          <w:szCs w:val="20"/>
        </w:rPr>
      </w:pPr>
      <w:r w:rsidRPr="00455CCD">
        <w:rPr>
          <w:sz w:val="20"/>
          <w:szCs w:val="20"/>
        </w:rPr>
        <w:t>(c) You must keep each record on site for at least 2 years after the date that each record is generated. You can keep the records offsite for the remaining 3 years.</w:t>
      </w:r>
    </w:p>
    <w:p w:rsidR="002039ED" w:rsidRPr="00455CCD" w:rsidRDefault="002039ED" w:rsidP="001E664D">
      <w:pPr>
        <w:pStyle w:val="NormalWeb"/>
        <w:rPr>
          <w:sz w:val="20"/>
          <w:szCs w:val="20"/>
        </w:rPr>
      </w:pPr>
      <w:r w:rsidRPr="00455CCD">
        <w:rPr>
          <w:sz w:val="20"/>
          <w:szCs w:val="20"/>
        </w:rPr>
        <w:t>(d) You can keep the records on paper or an alternative media, such as microfilm, computer, computer disks, magnetic tapes, or on microfiche.</w:t>
      </w:r>
    </w:p>
    <w:p w:rsidR="002039ED" w:rsidRPr="00455CCD" w:rsidRDefault="002039ED" w:rsidP="001E664D">
      <w:pPr>
        <w:pStyle w:val="Heading2"/>
        <w:rPr>
          <w:rFonts w:ascii="Times New Roman" w:hAnsi="Times New Roman" w:cs="Times New Roman"/>
          <w:color w:val="auto"/>
          <w:sz w:val="20"/>
          <w:szCs w:val="20"/>
        </w:rPr>
      </w:pPr>
      <w:bookmarkStart w:id="45" w:name="40:13.0.1.1.1.28.369"/>
      <w:bookmarkEnd w:id="45"/>
      <w:r w:rsidRPr="00455CCD">
        <w:rPr>
          <w:rFonts w:ascii="Times New Roman" w:hAnsi="Times New Roman" w:cs="Times New Roman"/>
          <w:color w:val="auto"/>
          <w:sz w:val="20"/>
          <w:szCs w:val="20"/>
        </w:rPr>
        <w:t>Other Information You Need To Know</w:t>
      </w:r>
    </w:p>
    <w:p w:rsidR="002039ED" w:rsidRPr="00455CCD" w:rsidRDefault="002039ED" w:rsidP="001E664D">
      <w:pPr>
        <w:pStyle w:val="Heading2"/>
        <w:rPr>
          <w:rFonts w:ascii="Times New Roman" w:hAnsi="Times New Roman" w:cs="Times New Roman"/>
          <w:color w:val="auto"/>
          <w:sz w:val="20"/>
          <w:szCs w:val="20"/>
        </w:rPr>
      </w:pPr>
      <w:bookmarkStart w:id="46" w:name="40:13.0.1.1.1.28.369.35"/>
      <w:bookmarkEnd w:id="46"/>
      <w:r w:rsidRPr="00455CCD">
        <w:rPr>
          <w:rFonts w:ascii="Times New Roman" w:hAnsi="Times New Roman" w:cs="Times New Roman"/>
          <w:color w:val="auto"/>
          <w:sz w:val="20"/>
          <w:szCs w:val="20"/>
        </w:rPr>
        <w:t>§ 63.5773   What parts of the General Provisions apply to me?</w:t>
      </w:r>
    </w:p>
    <w:p w:rsidR="002039ED" w:rsidRPr="00455CCD" w:rsidRDefault="002039ED" w:rsidP="001E664D">
      <w:pPr>
        <w:pStyle w:val="NormalWeb"/>
        <w:rPr>
          <w:sz w:val="20"/>
          <w:szCs w:val="20"/>
        </w:rPr>
      </w:pPr>
      <w:r w:rsidRPr="00455CCD">
        <w:rPr>
          <w:sz w:val="20"/>
          <w:szCs w:val="20"/>
        </w:rPr>
        <w:t>You must comply with the requirements of the General Provisions in 40 CFR part 63, subpart A, as specified in Table 8 to this subpart.</w:t>
      </w:r>
    </w:p>
    <w:p w:rsidR="002039ED" w:rsidRPr="00455CCD" w:rsidRDefault="002039ED" w:rsidP="001E664D">
      <w:pPr>
        <w:pStyle w:val="Heading2"/>
        <w:rPr>
          <w:rFonts w:ascii="Times New Roman" w:hAnsi="Times New Roman" w:cs="Times New Roman"/>
          <w:color w:val="auto"/>
          <w:sz w:val="20"/>
          <w:szCs w:val="20"/>
        </w:rPr>
      </w:pPr>
      <w:bookmarkStart w:id="47" w:name="40:13.0.1.1.1.28.369.36"/>
      <w:bookmarkEnd w:id="47"/>
      <w:r w:rsidRPr="00455CCD">
        <w:rPr>
          <w:rFonts w:ascii="Times New Roman" w:hAnsi="Times New Roman" w:cs="Times New Roman"/>
          <w:color w:val="auto"/>
          <w:sz w:val="20"/>
          <w:szCs w:val="20"/>
        </w:rPr>
        <w:t>§ 63.5776   Who implements and enforces this subpart?</w:t>
      </w:r>
    </w:p>
    <w:p w:rsidR="002039ED" w:rsidRPr="00455CCD" w:rsidRDefault="002039ED" w:rsidP="001E664D">
      <w:pPr>
        <w:pStyle w:val="NormalWeb"/>
        <w:rPr>
          <w:sz w:val="20"/>
          <w:szCs w:val="20"/>
        </w:rPr>
      </w:pPr>
      <w:r w:rsidRPr="00455CCD">
        <w:rPr>
          <w:sz w:val="20"/>
          <w:szCs w:val="20"/>
        </w:rPr>
        <w:t>(a) If the Administrator has delegated authority to your State or local agency, the State or local agency has the authority to implement and enforce this subpart.</w:t>
      </w:r>
    </w:p>
    <w:p w:rsidR="002039ED" w:rsidRPr="00455CCD" w:rsidRDefault="002039ED" w:rsidP="001E664D">
      <w:pPr>
        <w:pStyle w:val="NormalWeb"/>
        <w:rPr>
          <w:sz w:val="20"/>
          <w:szCs w:val="20"/>
        </w:rPr>
      </w:pPr>
      <w:r w:rsidRPr="00455CCD">
        <w:rPr>
          <w:sz w:val="20"/>
          <w:szCs w:val="20"/>
        </w:rPr>
        <w:t>(b) 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rsidR="002039ED" w:rsidRPr="00455CCD" w:rsidRDefault="002039ED" w:rsidP="001E664D">
      <w:pPr>
        <w:pStyle w:val="NormalWeb"/>
        <w:rPr>
          <w:sz w:val="20"/>
          <w:szCs w:val="20"/>
        </w:rPr>
      </w:pPr>
      <w:r w:rsidRPr="00455CCD">
        <w:rPr>
          <w:sz w:val="20"/>
          <w:szCs w:val="20"/>
        </w:rPr>
        <w:t>(1) Under § 63.6(g), the authority to approve alternatives to the standards listed in paragraphs (b)(1)(i) through (vii) of this section is not delegated.</w:t>
      </w:r>
    </w:p>
    <w:p w:rsidR="002039ED" w:rsidRPr="00455CCD" w:rsidRDefault="002039ED" w:rsidP="001E664D">
      <w:pPr>
        <w:pStyle w:val="NormalWeb"/>
        <w:rPr>
          <w:sz w:val="20"/>
          <w:szCs w:val="20"/>
        </w:rPr>
      </w:pPr>
      <w:r w:rsidRPr="00455CCD">
        <w:rPr>
          <w:sz w:val="20"/>
          <w:szCs w:val="20"/>
        </w:rPr>
        <w:t>(i) § 63.5698—Emission limit for open molding resin and gel coat operations.</w:t>
      </w:r>
    </w:p>
    <w:p w:rsidR="002039ED" w:rsidRPr="00455CCD" w:rsidRDefault="002039ED" w:rsidP="001E664D">
      <w:pPr>
        <w:pStyle w:val="NormalWeb"/>
        <w:rPr>
          <w:sz w:val="20"/>
          <w:szCs w:val="20"/>
        </w:rPr>
      </w:pPr>
      <w:r w:rsidRPr="00455CCD">
        <w:rPr>
          <w:sz w:val="20"/>
          <w:szCs w:val="20"/>
        </w:rPr>
        <w:t>(ii) § 63.5728—Standards for closed molding resin operations.</w:t>
      </w:r>
    </w:p>
    <w:p w:rsidR="002039ED" w:rsidRPr="00455CCD" w:rsidRDefault="002039ED" w:rsidP="001E664D">
      <w:pPr>
        <w:pStyle w:val="NormalWeb"/>
        <w:rPr>
          <w:sz w:val="20"/>
          <w:szCs w:val="20"/>
        </w:rPr>
      </w:pPr>
      <w:r w:rsidRPr="00455CCD">
        <w:rPr>
          <w:sz w:val="20"/>
          <w:szCs w:val="20"/>
        </w:rPr>
        <w:t>(iii) § 63.5731(a)—Standards for resin and gel coat mixing operations.</w:t>
      </w:r>
    </w:p>
    <w:p w:rsidR="002039ED" w:rsidRPr="00455CCD" w:rsidRDefault="002039ED" w:rsidP="001E664D">
      <w:pPr>
        <w:pStyle w:val="NormalWeb"/>
        <w:rPr>
          <w:sz w:val="20"/>
          <w:szCs w:val="20"/>
        </w:rPr>
      </w:pPr>
      <w:r w:rsidRPr="00455CCD">
        <w:rPr>
          <w:sz w:val="20"/>
          <w:szCs w:val="20"/>
        </w:rPr>
        <w:t>(iv) § 63.5734—Standards for resin and gel coat application equipment cleaning operations.</w:t>
      </w:r>
    </w:p>
    <w:p w:rsidR="002039ED" w:rsidRPr="00455CCD" w:rsidRDefault="002039ED" w:rsidP="001E664D">
      <w:pPr>
        <w:pStyle w:val="NormalWeb"/>
        <w:rPr>
          <w:sz w:val="20"/>
          <w:szCs w:val="20"/>
        </w:rPr>
      </w:pPr>
      <w:r w:rsidRPr="00455CCD">
        <w:rPr>
          <w:sz w:val="20"/>
          <w:szCs w:val="20"/>
        </w:rPr>
        <w:t>(v) § 63.5740(a)—Emission limit for carpet and fabric adhesive operations.</w:t>
      </w:r>
    </w:p>
    <w:p w:rsidR="002039ED" w:rsidRPr="00455CCD" w:rsidRDefault="002039ED" w:rsidP="001E664D">
      <w:pPr>
        <w:pStyle w:val="NormalWeb"/>
        <w:rPr>
          <w:sz w:val="20"/>
          <w:szCs w:val="20"/>
        </w:rPr>
      </w:pPr>
      <w:r w:rsidRPr="00455CCD">
        <w:rPr>
          <w:sz w:val="20"/>
          <w:szCs w:val="20"/>
        </w:rPr>
        <w:t>(vi) § 63.5743—Standards for aluminum recreational boat surface coating operations.</w:t>
      </w:r>
    </w:p>
    <w:p w:rsidR="002039ED" w:rsidRPr="00455CCD" w:rsidRDefault="002039ED" w:rsidP="001E664D">
      <w:pPr>
        <w:pStyle w:val="NormalWeb"/>
        <w:rPr>
          <w:sz w:val="20"/>
          <w:szCs w:val="20"/>
        </w:rPr>
      </w:pPr>
      <w:r w:rsidRPr="00455CCD">
        <w:rPr>
          <w:sz w:val="20"/>
          <w:szCs w:val="20"/>
        </w:rPr>
        <w:lastRenderedPageBreak/>
        <w:t>(vii) § 63.5746(g)—Approval of alternative means of demonstrating compliance with the emission limits for aluminum recreational boat surface coating operations.</w:t>
      </w:r>
    </w:p>
    <w:p w:rsidR="002039ED" w:rsidRPr="00455CCD" w:rsidRDefault="002039ED" w:rsidP="001E664D">
      <w:pPr>
        <w:pStyle w:val="NormalWeb"/>
        <w:rPr>
          <w:sz w:val="20"/>
          <w:szCs w:val="20"/>
        </w:rPr>
      </w:pPr>
      <w:r w:rsidRPr="00455CCD">
        <w:rPr>
          <w:sz w:val="20"/>
          <w:szCs w:val="20"/>
        </w:rPr>
        <w:t>(2) Under § 63.7(e)(2)(ii) and (f), the authority to approve alternatives to the test methods listed in paragraphs (b)(2)(i) through (iv) of this section is not delegated.</w:t>
      </w:r>
    </w:p>
    <w:p w:rsidR="002039ED" w:rsidRPr="00455CCD" w:rsidRDefault="002039ED" w:rsidP="001E664D">
      <w:pPr>
        <w:pStyle w:val="NormalWeb"/>
        <w:rPr>
          <w:sz w:val="20"/>
          <w:szCs w:val="20"/>
        </w:rPr>
      </w:pPr>
      <w:r w:rsidRPr="00455CCD">
        <w:rPr>
          <w:sz w:val="20"/>
          <w:szCs w:val="20"/>
        </w:rPr>
        <w:t>(i) § 63.5719(b)—Method for determining whether an enclosure is a total enclosure.</w:t>
      </w:r>
    </w:p>
    <w:p w:rsidR="002039ED" w:rsidRPr="00455CCD" w:rsidRDefault="002039ED" w:rsidP="001E664D">
      <w:pPr>
        <w:pStyle w:val="NormalWeb"/>
        <w:rPr>
          <w:sz w:val="20"/>
          <w:szCs w:val="20"/>
        </w:rPr>
      </w:pPr>
      <w:r w:rsidRPr="00455CCD">
        <w:rPr>
          <w:sz w:val="20"/>
          <w:szCs w:val="20"/>
        </w:rPr>
        <w:t>(ii) § 63.5719(c)—Methods for measuring emissions from a control device.</w:t>
      </w:r>
    </w:p>
    <w:p w:rsidR="002039ED" w:rsidRPr="00455CCD" w:rsidRDefault="002039ED" w:rsidP="001E664D">
      <w:pPr>
        <w:pStyle w:val="NormalWeb"/>
        <w:rPr>
          <w:sz w:val="20"/>
          <w:szCs w:val="20"/>
        </w:rPr>
      </w:pPr>
      <w:r w:rsidRPr="00455CCD">
        <w:rPr>
          <w:sz w:val="20"/>
          <w:szCs w:val="20"/>
        </w:rPr>
        <w:t>(iii) § 63.5725(d)(1)—Performance specifications for thermal oxidizer combustion temperature monitors.</w:t>
      </w:r>
    </w:p>
    <w:p w:rsidR="002039ED" w:rsidRPr="00455CCD" w:rsidRDefault="002039ED" w:rsidP="001E664D">
      <w:pPr>
        <w:pStyle w:val="NormalWeb"/>
        <w:rPr>
          <w:sz w:val="20"/>
          <w:szCs w:val="20"/>
        </w:rPr>
      </w:pPr>
      <w:r w:rsidRPr="00455CCD">
        <w:rPr>
          <w:sz w:val="20"/>
          <w:szCs w:val="20"/>
        </w:rPr>
        <w:t>(iv) § 63.5758—Method for determining hazardous air pollutant content of regulated materials.</w:t>
      </w:r>
    </w:p>
    <w:p w:rsidR="002039ED" w:rsidRPr="00455CCD" w:rsidRDefault="002039ED" w:rsidP="001E664D">
      <w:pPr>
        <w:pStyle w:val="NormalWeb"/>
        <w:rPr>
          <w:sz w:val="20"/>
          <w:szCs w:val="20"/>
        </w:rPr>
      </w:pPr>
      <w:r w:rsidRPr="00455CCD">
        <w:rPr>
          <w:sz w:val="20"/>
          <w:szCs w:val="20"/>
        </w:rPr>
        <w:t>(3) Under § 63.8(f), the authority to approve major alternatives to the monitoring requirements listed in § 63.5725 is not delegated. A “major alternative” is defined in § 63.90.</w:t>
      </w:r>
    </w:p>
    <w:p w:rsidR="002039ED" w:rsidRPr="00455CCD" w:rsidRDefault="002039ED" w:rsidP="001E664D">
      <w:pPr>
        <w:pStyle w:val="NormalWeb"/>
        <w:rPr>
          <w:sz w:val="20"/>
          <w:szCs w:val="20"/>
        </w:rPr>
      </w:pPr>
      <w:r w:rsidRPr="00455CCD">
        <w:rPr>
          <w:sz w:val="20"/>
          <w:szCs w:val="20"/>
        </w:rPr>
        <w:t>(4) Under § 63.10(f), the authority to approve major alternatives to the reporting and recordkeeping requirements listed in §§ 63.5764, 63.5767, and 63.5770 is not delegated. A “major alternative” is defined in § 63.90.</w:t>
      </w:r>
    </w:p>
    <w:p w:rsidR="002039ED" w:rsidRPr="00455CCD" w:rsidRDefault="002039ED" w:rsidP="001E664D">
      <w:pPr>
        <w:pStyle w:val="Heading2"/>
        <w:rPr>
          <w:rFonts w:ascii="Times New Roman" w:hAnsi="Times New Roman" w:cs="Times New Roman"/>
          <w:color w:val="auto"/>
          <w:sz w:val="20"/>
          <w:szCs w:val="20"/>
        </w:rPr>
      </w:pPr>
      <w:bookmarkStart w:id="48" w:name="40:13.0.1.1.1.28.370"/>
      <w:bookmarkEnd w:id="48"/>
      <w:r w:rsidRPr="00455CCD">
        <w:rPr>
          <w:rFonts w:ascii="Times New Roman" w:hAnsi="Times New Roman" w:cs="Times New Roman"/>
          <w:color w:val="auto"/>
          <w:sz w:val="20"/>
          <w:szCs w:val="20"/>
        </w:rPr>
        <w:t>Definitions</w:t>
      </w:r>
    </w:p>
    <w:p w:rsidR="002039ED" w:rsidRPr="00455CCD" w:rsidRDefault="002039ED" w:rsidP="001E664D">
      <w:pPr>
        <w:pStyle w:val="Heading2"/>
        <w:rPr>
          <w:rFonts w:ascii="Times New Roman" w:hAnsi="Times New Roman" w:cs="Times New Roman"/>
          <w:color w:val="auto"/>
          <w:sz w:val="20"/>
          <w:szCs w:val="20"/>
        </w:rPr>
      </w:pPr>
      <w:bookmarkStart w:id="49" w:name="40:13.0.1.1.1.28.370.37"/>
      <w:bookmarkEnd w:id="49"/>
      <w:r w:rsidRPr="00455CCD">
        <w:rPr>
          <w:rFonts w:ascii="Times New Roman" w:hAnsi="Times New Roman" w:cs="Times New Roman"/>
          <w:color w:val="auto"/>
          <w:sz w:val="20"/>
          <w:szCs w:val="20"/>
        </w:rPr>
        <w:t>§ 63.5779   What definitions apply to this subpart?</w:t>
      </w:r>
    </w:p>
    <w:p w:rsidR="002039ED" w:rsidRPr="00455CCD" w:rsidRDefault="002039ED" w:rsidP="001E664D">
      <w:pPr>
        <w:pStyle w:val="NormalWeb"/>
        <w:rPr>
          <w:sz w:val="20"/>
          <w:szCs w:val="20"/>
        </w:rPr>
      </w:pPr>
      <w:r w:rsidRPr="00455CCD">
        <w:rPr>
          <w:sz w:val="20"/>
          <w:szCs w:val="20"/>
        </w:rPr>
        <w:t>Terms used in this subpart are defined in the Clean Air Act, in § 63.2, and in this section as follows:</w:t>
      </w:r>
    </w:p>
    <w:p w:rsidR="002039ED" w:rsidRPr="00455CCD" w:rsidRDefault="002039ED" w:rsidP="001E664D">
      <w:pPr>
        <w:pStyle w:val="NormalWeb"/>
        <w:rPr>
          <w:sz w:val="20"/>
          <w:szCs w:val="20"/>
        </w:rPr>
      </w:pPr>
      <w:r w:rsidRPr="00455CCD">
        <w:rPr>
          <w:i/>
          <w:iCs/>
          <w:sz w:val="20"/>
          <w:szCs w:val="20"/>
        </w:rPr>
        <w:t>Add-on control</w:t>
      </w:r>
      <w:r w:rsidRPr="00455CCD">
        <w:rPr>
          <w:sz w:val="20"/>
          <w:szCs w:val="20"/>
        </w:rPr>
        <w:t xml:space="preserve"> means an air pollution control device, such as a thermal oxidizer, that reduces pollution in an air stream by destruction or removal before discharge to the atmosphere.</w:t>
      </w:r>
    </w:p>
    <w:p w:rsidR="002039ED" w:rsidRPr="00455CCD" w:rsidRDefault="002039ED" w:rsidP="001E664D">
      <w:pPr>
        <w:pStyle w:val="NormalWeb"/>
        <w:rPr>
          <w:sz w:val="20"/>
          <w:szCs w:val="20"/>
        </w:rPr>
      </w:pPr>
      <w:r w:rsidRPr="00455CCD">
        <w:rPr>
          <w:i/>
          <w:iCs/>
          <w:sz w:val="20"/>
          <w:szCs w:val="20"/>
        </w:rPr>
        <w:t>Administrator</w:t>
      </w:r>
      <w:r w:rsidRPr="00455CCD">
        <w:rPr>
          <w:sz w:val="20"/>
          <w:szCs w:val="20"/>
        </w:rPr>
        <w:t xml:space="preserve"> means the Administrator of the United States Environmental Protection Agency (U.S. EPA) or an authorized representative (for example, a State delegated the authority to carry out the provisions of this subpart).</w:t>
      </w:r>
    </w:p>
    <w:p w:rsidR="002039ED" w:rsidRPr="00455CCD" w:rsidRDefault="002039ED" w:rsidP="001E664D">
      <w:pPr>
        <w:pStyle w:val="NormalWeb"/>
        <w:rPr>
          <w:sz w:val="20"/>
          <w:szCs w:val="20"/>
        </w:rPr>
      </w:pPr>
      <w:r w:rsidRPr="00455CCD">
        <w:rPr>
          <w:i/>
          <w:iCs/>
          <w:sz w:val="20"/>
          <w:szCs w:val="20"/>
        </w:rPr>
        <w:t>Aluminum recreational boat</w:t>
      </w:r>
      <w:r w:rsidRPr="00455CCD">
        <w:rPr>
          <w:sz w:val="20"/>
          <w:szCs w:val="20"/>
        </w:rPr>
        <w:t xml:space="preserve"> 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rsidR="002039ED" w:rsidRPr="00455CCD" w:rsidRDefault="002039ED" w:rsidP="001E664D">
      <w:pPr>
        <w:pStyle w:val="NormalWeb"/>
        <w:rPr>
          <w:sz w:val="20"/>
          <w:szCs w:val="20"/>
        </w:rPr>
      </w:pPr>
      <w:r w:rsidRPr="00455CCD">
        <w:rPr>
          <w:i/>
          <w:iCs/>
          <w:sz w:val="20"/>
          <w:szCs w:val="20"/>
        </w:rPr>
        <w:t>Aluminum recreational boat surface coating operation</w:t>
      </w:r>
      <w:r w:rsidRPr="00455CCD">
        <w:rPr>
          <w:sz w:val="20"/>
          <w:szCs w:val="20"/>
        </w:rPr>
        <w:t xml:space="preserve"> means the application of primers or top coats to aluminum recreational boats. It also includes the application of clear coats over top coats. Aluminum recreational boat surface coating operations do not include the application of wood coatings or antifoulant coatings to aluminum recreational boats.</w:t>
      </w:r>
    </w:p>
    <w:p w:rsidR="002039ED" w:rsidRPr="00455CCD" w:rsidRDefault="002039ED" w:rsidP="001E664D">
      <w:pPr>
        <w:pStyle w:val="NormalWeb"/>
        <w:rPr>
          <w:sz w:val="20"/>
          <w:szCs w:val="20"/>
        </w:rPr>
      </w:pPr>
      <w:r w:rsidRPr="00455CCD">
        <w:rPr>
          <w:i/>
          <w:iCs/>
          <w:sz w:val="20"/>
          <w:szCs w:val="20"/>
        </w:rPr>
        <w:t>Aluminum coating spray gun cleaning</w:t>
      </w:r>
      <w:r w:rsidRPr="00455CCD">
        <w:rPr>
          <w:sz w:val="20"/>
          <w:szCs w:val="20"/>
        </w:rPr>
        <w:t xml:space="preserve"> means the process of flushing or removing paints or coatings from the interior or exterior of a spray gun used to apply aluminum primers, clear coats, or top coats to aluminum recreational boats.</w:t>
      </w:r>
    </w:p>
    <w:p w:rsidR="002039ED" w:rsidRPr="00455CCD" w:rsidRDefault="002039ED" w:rsidP="001E664D">
      <w:pPr>
        <w:pStyle w:val="NormalWeb"/>
        <w:rPr>
          <w:sz w:val="20"/>
          <w:szCs w:val="20"/>
        </w:rPr>
      </w:pPr>
      <w:r w:rsidRPr="00455CCD">
        <w:rPr>
          <w:i/>
          <w:iCs/>
          <w:sz w:val="20"/>
          <w:szCs w:val="20"/>
        </w:rPr>
        <w:t>Aluminum wipedown solvents</w:t>
      </w:r>
      <w:r w:rsidRPr="00455CCD">
        <w:rPr>
          <w:sz w:val="20"/>
          <w:szCs w:val="20"/>
        </w:rPr>
        <w:t xml:space="preserve"> means solvents used to remove oil, grease, welding smoke, or other contaminants from the aluminum surfaces of a boat before priming or painting. Aluminum wipedown solvents contain no coating solids; aluminum surface preparation materials that contain coating solids are considered coatings for the purpose of this subpart and are not wipedown solvents.</w:t>
      </w:r>
    </w:p>
    <w:p w:rsidR="002039ED" w:rsidRPr="00455CCD" w:rsidRDefault="002039ED" w:rsidP="001E664D">
      <w:pPr>
        <w:pStyle w:val="NormalWeb"/>
        <w:rPr>
          <w:sz w:val="20"/>
          <w:szCs w:val="20"/>
        </w:rPr>
      </w:pPr>
      <w:r w:rsidRPr="00455CCD">
        <w:rPr>
          <w:i/>
          <w:iCs/>
          <w:sz w:val="20"/>
          <w:szCs w:val="20"/>
        </w:rPr>
        <w:t>Antifoulant coating</w:t>
      </w:r>
      <w:r w:rsidRPr="00455CCD">
        <w:rPr>
          <w:sz w:val="20"/>
          <w:szCs w:val="20"/>
        </w:rPr>
        <w:t xml:space="preserve"> means any coating that is applied to the underwater portion of a boat specifically to prevent or reduce the attachment of biological organisms and that is registered with EPA as a pesticide under the Federal Insecticide, Fungicide, </w:t>
      </w:r>
      <w:r w:rsidRPr="00455CCD">
        <w:rPr>
          <w:sz w:val="20"/>
          <w:szCs w:val="20"/>
        </w:rPr>
        <w:lastRenderedPageBreak/>
        <w:t xml:space="preserve">and Rodenticide Act (7 U.S.C. section 136, </w:t>
      </w:r>
      <w:r w:rsidRPr="00455CCD">
        <w:rPr>
          <w:i/>
          <w:iCs/>
          <w:sz w:val="20"/>
          <w:szCs w:val="20"/>
        </w:rPr>
        <w:t>et seq.</w:t>
      </w:r>
      <w:r w:rsidRPr="00455CCD">
        <w:rPr>
          <w:sz w:val="20"/>
          <w:szCs w:val="20"/>
        </w:rPr>
        <w:t xml:space="preserve"> ). For the purpose of this subpart, primers used with antifoulant coatings to prepare the surface to accept the antifoulant coating are considered antifoulant coatings.</w:t>
      </w:r>
    </w:p>
    <w:p w:rsidR="002039ED" w:rsidRPr="00455CCD" w:rsidRDefault="002039ED" w:rsidP="001E664D">
      <w:pPr>
        <w:pStyle w:val="NormalWeb"/>
        <w:rPr>
          <w:sz w:val="20"/>
          <w:szCs w:val="20"/>
        </w:rPr>
      </w:pPr>
      <w:r w:rsidRPr="00455CCD">
        <w:rPr>
          <w:i/>
          <w:iCs/>
          <w:sz w:val="20"/>
          <w:szCs w:val="20"/>
        </w:rPr>
        <w:t>Assembly adhesive</w:t>
      </w:r>
      <w:r w:rsidRPr="00455CCD">
        <w:rPr>
          <w:sz w:val="20"/>
          <w:szCs w:val="20"/>
        </w:rPr>
        <w:t xml:space="preserve"> means any chemical material used in the joining of one fiberglass, metal, foam, or wood parts to another to form a temporary or permanently bonded assembly. Assembly adhesives include, but are not limited to, methacrylate adhesives and putties made from polyester or vinylester resin mixed with inert fillers or fibers.</w:t>
      </w:r>
    </w:p>
    <w:p w:rsidR="002039ED" w:rsidRPr="00455CCD" w:rsidRDefault="002039ED" w:rsidP="001E664D">
      <w:pPr>
        <w:pStyle w:val="NormalWeb"/>
        <w:rPr>
          <w:sz w:val="20"/>
          <w:szCs w:val="20"/>
        </w:rPr>
      </w:pPr>
      <w:r w:rsidRPr="00455CCD">
        <w:rPr>
          <w:i/>
          <w:iCs/>
          <w:sz w:val="20"/>
          <w:szCs w:val="20"/>
        </w:rPr>
        <w:t>Atomized resin application</w:t>
      </w:r>
      <w:r w:rsidRPr="00455CCD">
        <w:rPr>
          <w:sz w:val="20"/>
          <w:szCs w:val="20"/>
        </w:rPr>
        <w:t xml:space="preserve"> 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rsidR="002039ED" w:rsidRPr="00455CCD" w:rsidRDefault="002039ED" w:rsidP="001E664D">
      <w:pPr>
        <w:pStyle w:val="NormalWeb"/>
        <w:rPr>
          <w:sz w:val="20"/>
          <w:szCs w:val="20"/>
        </w:rPr>
      </w:pPr>
      <w:r w:rsidRPr="00455CCD">
        <w:rPr>
          <w:i/>
          <w:iCs/>
          <w:sz w:val="20"/>
          <w:szCs w:val="20"/>
        </w:rPr>
        <w:t>Boat</w:t>
      </w:r>
      <w:r w:rsidRPr="00455CCD">
        <w:rPr>
          <w:sz w:val="20"/>
          <w:szCs w:val="20"/>
        </w:rPr>
        <w:t xml:space="preserve"> means any type of vessel, other than a seaplane, that can be used for transportation on the water.</w:t>
      </w:r>
    </w:p>
    <w:p w:rsidR="002039ED" w:rsidRPr="00455CCD" w:rsidRDefault="002039ED" w:rsidP="001E664D">
      <w:pPr>
        <w:pStyle w:val="NormalWeb"/>
        <w:rPr>
          <w:sz w:val="20"/>
          <w:szCs w:val="20"/>
        </w:rPr>
      </w:pPr>
      <w:r w:rsidRPr="00455CCD">
        <w:rPr>
          <w:i/>
          <w:iCs/>
          <w:sz w:val="20"/>
          <w:szCs w:val="20"/>
        </w:rPr>
        <w:t>Boat manufacturing facility</w:t>
      </w:r>
      <w:r w:rsidRPr="00455CCD">
        <w:rPr>
          <w:sz w:val="20"/>
          <w:szCs w:val="20"/>
        </w:rPr>
        <w:t xml:space="preserve"> means a facility that manufactures the hulls or decks of boats from fiberglass or aluminum or assembles boats from premanufactured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rsidR="002039ED" w:rsidRPr="00455CCD" w:rsidRDefault="002039ED" w:rsidP="001E664D">
      <w:pPr>
        <w:pStyle w:val="NormalWeb"/>
        <w:rPr>
          <w:sz w:val="20"/>
          <w:szCs w:val="20"/>
        </w:rPr>
      </w:pPr>
      <w:r w:rsidRPr="00455CCD">
        <w:rPr>
          <w:i/>
          <w:iCs/>
          <w:sz w:val="20"/>
          <w:szCs w:val="20"/>
        </w:rPr>
        <w:t>Carpet and fabric adhesive</w:t>
      </w:r>
      <w:r w:rsidRPr="00455CCD">
        <w:rPr>
          <w:sz w:val="20"/>
          <w:szCs w:val="20"/>
        </w:rPr>
        <w:t xml:space="preserve"> means any chemical material that permanently attaches carpet, fabric, or upholstery to any surface of a boat.</w:t>
      </w:r>
    </w:p>
    <w:p w:rsidR="002039ED" w:rsidRPr="00455CCD" w:rsidRDefault="002039ED" w:rsidP="001E664D">
      <w:pPr>
        <w:pStyle w:val="NormalWeb"/>
        <w:rPr>
          <w:sz w:val="20"/>
          <w:szCs w:val="20"/>
        </w:rPr>
      </w:pPr>
      <w:r w:rsidRPr="00455CCD">
        <w:rPr>
          <w:i/>
          <w:iCs/>
          <w:sz w:val="20"/>
          <w:szCs w:val="20"/>
        </w:rPr>
        <w:t>Clear gel coat</w:t>
      </w:r>
      <w:r w:rsidRPr="00455CCD">
        <w:rPr>
          <w:sz w:val="20"/>
          <w:szCs w:val="20"/>
        </w:rPr>
        <w:t xml:space="preserve"> means gel coats that are clear or translucent so that underlying colors are visible. Clear gel coats are used to manufacture parts for sale. Clear gel coats do not include tooling gel coats used to build or repair molds.</w:t>
      </w:r>
    </w:p>
    <w:p w:rsidR="002039ED" w:rsidRPr="00455CCD" w:rsidRDefault="002039ED" w:rsidP="001E664D">
      <w:pPr>
        <w:pStyle w:val="NormalWeb"/>
        <w:rPr>
          <w:sz w:val="20"/>
          <w:szCs w:val="20"/>
        </w:rPr>
      </w:pPr>
      <w:r w:rsidRPr="00455CCD">
        <w:rPr>
          <w:i/>
          <w:iCs/>
          <w:sz w:val="20"/>
          <w:szCs w:val="20"/>
        </w:rPr>
        <w:t>Closed molding</w:t>
      </w:r>
      <w:r w:rsidRPr="00455CCD">
        <w:rPr>
          <w:sz w:val="20"/>
          <w:szCs w:val="20"/>
        </w:rPr>
        <w:t xml:space="preserve"> 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rsidR="002039ED" w:rsidRPr="00455CCD" w:rsidRDefault="002039ED" w:rsidP="001E664D">
      <w:pPr>
        <w:pStyle w:val="NormalWeb"/>
        <w:rPr>
          <w:sz w:val="20"/>
          <w:szCs w:val="20"/>
        </w:rPr>
      </w:pPr>
      <w:r w:rsidRPr="00455CCD">
        <w:rPr>
          <w:i/>
          <w:iCs/>
          <w:sz w:val="20"/>
          <w:szCs w:val="20"/>
        </w:rPr>
        <w:t>Cured resin and gel coat</w:t>
      </w:r>
      <w:r w:rsidRPr="00455CCD">
        <w:rPr>
          <w:sz w:val="20"/>
          <w:szCs w:val="20"/>
        </w:rPr>
        <w:t xml:space="preserve"> means resin or gel coat that has been polymerized and changed from a liquid to a solid.</w:t>
      </w:r>
    </w:p>
    <w:p w:rsidR="002039ED" w:rsidRPr="00455CCD" w:rsidRDefault="002039ED" w:rsidP="001E664D">
      <w:pPr>
        <w:pStyle w:val="NormalWeb"/>
        <w:rPr>
          <w:sz w:val="20"/>
          <w:szCs w:val="20"/>
        </w:rPr>
      </w:pPr>
      <w:r w:rsidRPr="00455CCD">
        <w:rPr>
          <w:i/>
          <w:iCs/>
          <w:sz w:val="20"/>
          <w:szCs w:val="20"/>
        </w:rPr>
        <w:t>Deviation</w:t>
      </w:r>
      <w:r w:rsidRPr="00455CCD">
        <w:rPr>
          <w:sz w:val="20"/>
          <w:szCs w:val="20"/>
        </w:rPr>
        <w:t xml:space="preserve"> means any instance in which an affected source subject to this subpart or an owner or operator of such a source:</w:t>
      </w:r>
    </w:p>
    <w:p w:rsidR="002039ED" w:rsidRPr="00455CCD" w:rsidRDefault="002039ED" w:rsidP="001E664D">
      <w:pPr>
        <w:pStyle w:val="NormalWeb"/>
        <w:rPr>
          <w:sz w:val="20"/>
          <w:szCs w:val="20"/>
        </w:rPr>
      </w:pPr>
      <w:r w:rsidRPr="00455CCD">
        <w:rPr>
          <w:sz w:val="20"/>
          <w:szCs w:val="20"/>
        </w:rPr>
        <w:t>(1) Fails to meet any requirement or obligation established by this subpart, including, but not limited to, any emission limit, operating limit, or work practice requirement;</w:t>
      </w:r>
    </w:p>
    <w:p w:rsidR="002039ED" w:rsidRPr="00455CCD" w:rsidRDefault="002039ED" w:rsidP="001E664D">
      <w:pPr>
        <w:pStyle w:val="NormalWeb"/>
        <w:rPr>
          <w:sz w:val="20"/>
          <w:szCs w:val="20"/>
        </w:rPr>
      </w:pPr>
      <w:r w:rsidRPr="00455CCD">
        <w:rPr>
          <w:sz w:val="20"/>
          <w:szCs w:val="20"/>
        </w:rPr>
        <w:t>(2) Fails to meet any term or condition which is adopted to implement an applicable requirement in this subpart and which is included in the operating permit for any affected source required to obtain such permit; or</w:t>
      </w:r>
    </w:p>
    <w:p w:rsidR="002039ED" w:rsidRPr="00455CCD" w:rsidRDefault="002039ED" w:rsidP="001E664D">
      <w:pPr>
        <w:pStyle w:val="NormalWeb"/>
        <w:rPr>
          <w:sz w:val="20"/>
          <w:szCs w:val="20"/>
        </w:rPr>
      </w:pPr>
      <w:r w:rsidRPr="00455CCD">
        <w:rPr>
          <w:sz w:val="20"/>
          <w:szCs w:val="20"/>
        </w:rPr>
        <w:t>(3) Fails to meet any emission limit, operating limit, or work practice requirement in this subpart during any startup, shutdown, or malfunction, regardless of whether or not such failure is permitted by this subpart.</w:t>
      </w:r>
    </w:p>
    <w:p w:rsidR="002039ED" w:rsidRPr="00455CCD" w:rsidRDefault="002039ED" w:rsidP="001E664D">
      <w:pPr>
        <w:pStyle w:val="NormalWeb"/>
        <w:rPr>
          <w:sz w:val="20"/>
          <w:szCs w:val="20"/>
        </w:rPr>
      </w:pPr>
      <w:r w:rsidRPr="00455CCD">
        <w:rPr>
          <w:i/>
          <w:iCs/>
          <w:sz w:val="20"/>
          <w:szCs w:val="20"/>
        </w:rPr>
        <w:t>Enclosure</w:t>
      </w:r>
      <w:r w:rsidRPr="00455CCD">
        <w:rPr>
          <w:sz w:val="20"/>
          <w:szCs w:val="20"/>
        </w:rPr>
        <w:t xml:space="preserve"> means a structure, such as a spray booth, that surrounds a source of emissions and captures and directs the emissions to an add-on control device.</w:t>
      </w:r>
    </w:p>
    <w:p w:rsidR="002039ED" w:rsidRPr="00455CCD" w:rsidRDefault="002039ED" w:rsidP="001E664D">
      <w:pPr>
        <w:pStyle w:val="NormalWeb"/>
        <w:rPr>
          <w:sz w:val="20"/>
          <w:szCs w:val="20"/>
        </w:rPr>
      </w:pPr>
      <w:r w:rsidRPr="00455CCD">
        <w:rPr>
          <w:i/>
          <w:iCs/>
          <w:sz w:val="20"/>
          <w:szCs w:val="20"/>
        </w:rPr>
        <w:t>Fiberglass boat</w:t>
      </w:r>
      <w:r w:rsidRPr="00455CCD">
        <w:rPr>
          <w:sz w:val="20"/>
          <w:szCs w:val="20"/>
        </w:rPr>
        <w:t xml:space="preserve"> means a vessel in which either the hull or deck is built from a composite material consisting of a thermosetting resin matrix reinforced with fibers of glass, carbon, aramid, or other material.</w:t>
      </w:r>
    </w:p>
    <w:p w:rsidR="002039ED" w:rsidRPr="00455CCD" w:rsidRDefault="002039ED" w:rsidP="001E664D">
      <w:pPr>
        <w:pStyle w:val="NormalWeb"/>
        <w:rPr>
          <w:sz w:val="20"/>
          <w:szCs w:val="20"/>
        </w:rPr>
      </w:pPr>
      <w:r w:rsidRPr="00455CCD">
        <w:rPr>
          <w:i/>
          <w:iCs/>
          <w:sz w:val="20"/>
          <w:szCs w:val="20"/>
        </w:rPr>
        <w:lastRenderedPageBreak/>
        <w:t>Fiberglass hull and deck coatings</w:t>
      </w:r>
      <w:r w:rsidRPr="00455CCD">
        <w:rPr>
          <w:sz w:val="20"/>
          <w:szCs w:val="20"/>
        </w:rPr>
        <w:t xml:space="preserve"> means coatings applied to the exterior or interior surface of fiberglass boat hulls and decks on the completed boat. Polyester and vinylester resins and gel coats used in building fiberglass parts are not fiberglass hull and deck coatings for the purpose of this subpart.</w:t>
      </w:r>
    </w:p>
    <w:p w:rsidR="002039ED" w:rsidRPr="00455CCD" w:rsidRDefault="002039ED" w:rsidP="001E664D">
      <w:pPr>
        <w:pStyle w:val="NormalWeb"/>
        <w:rPr>
          <w:sz w:val="20"/>
          <w:szCs w:val="20"/>
        </w:rPr>
      </w:pPr>
      <w:r w:rsidRPr="00455CCD">
        <w:rPr>
          <w:i/>
          <w:iCs/>
          <w:sz w:val="20"/>
          <w:szCs w:val="20"/>
        </w:rPr>
        <w:t>Filled resin</w:t>
      </w:r>
      <w:r w:rsidRPr="00455CCD">
        <w:rPr>
          <w:sz w:val="20"/>
          <w:szCs w:val="20"/>
        </w:rPr>
        <w:t xml:space="preserve"> means a resin to which an inert material has been added to change viscosity, density, shrinkage, or other physical properties.</w:t>
      </w:r>
    </w:p>
    <w:p w:rsidR="002039ED" w:rsidRPr="00455CCD" w:rsidRDefault="002039ED" w:rsidP="001E664D">
      <w:pPr>
        <w:pStyle w:val="NormalWeb"/>
        <w:rPr>
          <w:sz w:val="20"/>
          <w:szCs w:val="20"/>
        </w:rPr>
      </w:pPr>
      <w:r w:rsidRPr="00455CCD">
        <w:rPr>
          <w:i/>
          <w:iCs/>
          <w:sz w:val="20"/>
          <w:szCs w:val="20"/>
        </w:rPr>
        <w:t>Gel coat</w:t>
      </w:r>
      <w:r w:rsidRPr="00455CCD">
        <w:rPr>
          <w:sz w:val="20"/>
          <w:szCs w:val="20"/>
        </w:rPr>
        <w:t xml:space="preserve"> 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rsidR="002039ED" w:rsidRPr="00455CCD" w:rsidRDefault="002039ED" w:rsidP="001E664D">
      <w:pPr>
        <w:pStyle w:val="NormalWeb"/>
        <w:rPr>
          <w:sz w:val="20"/>
          <w:szCs w:val="20"/>
        </w:rPr>
      </w:pPr>
      <w:r w:rsidRPr="00455CCD">
        <w:rPr>
          <w:i/>
          <w:iCs/>
          <w:sz w:val="20"/>
          <w:szCs w:val="20"/>
        </w:rPr>
        <w:t>Hazardous air pollutant or HAP</w:t>
      </w:r>
      <w:r w:rsidRPr="00455CCD">
        <w:rPr>
          <w:sz w:val="20"/>
          <w:szCs w:val="20"/>
        </w:rPr>
        <w:t xml:space="preserve"> means any air pollutant listed in, or pursuant to section 112(b) of the Clean Air Act.</w:t>
      </w:r>
    </w:p>
    <w:p w:rsidR="002039ED" w:rsidRPr="00455CCD" w:rsidRDefault="002039ED" w:rsidP="001E664D">
      <w:pPr>
        <w:pStyle w:val="NormalWeb"/>
        <w:rPr>
          <w:sz w:val="20"/>
          <w:szCs w:val="20"/>
        </w:rPr>
      </w:pPr>
      <w:r w:rsidRPr="00455CCD">
        <w:rPr>
          <w:i/>
          <w:iCs/>
          <w:sz w:val="20"/>
          <w:szCs w:val="20"/>
        </w:rPr>
        <w:t>Hazardous air pollutant content or HAP content</w:t>
      </w:r>
      <w:r w:rsidRPr="00455CCD">
        <w:rPr>
          <w:sz w:val="20"/>
          <w:szCs w:val="20"/>
        </w:rPr>
        <w:t xml:space="preserve"> 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rsidR="002039ED" w:rsidRPr="00455CCD" w:rsidRDefault="002039ED" w:rsidP="001E664D">
      <w:pPr>
        <w:pStyle w:val="NormalWeb"/>
        <w:rPr>
          <w:sz w:val="20"/>
          <w:szCs w:val="20"/>
        </w:rPr>
      </w:pPr>
      <w:r w:rsidRPr="00455CCD">
        <w:rPr>
          <w:i/>
          <w:iCs/>
          <w:sz w:val="20"/>
          <w:szCs w:val="20"/>
        </w:rPr>
        <w:t>Hazardous air pollutant data sheet (HDS)</w:t>
      </w:r>
      <w:r w:rsidRPr="00455CCD">
        <w:rPr>
          <w:sz w:val="20"/>
          <w:szCs w:val="20"/>
        </w:rPr>
        <w:t xml:space="preserve"> 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rsidR="002039ED" w:rsidRPr="00455CCD" w:rsidRDefault="002039ED" w:rsidP="001E664D">
      <w:pPr>
        <w:pStyle w:val="NormalWeb"/>
        <w:rPr>
          <w:sz w:val="20"/>
          <w:szCs w:val="20"/>
        </w:rPr>
      </w:pPr>
      <w:r w:rsidRPr="00455CCD">
        <w:rPr>
          <w:i/>
          <w:iCs/>
          <w:sz w:val="20"/>
          <w:szCs w:val="20"/>
        </w:rPr>
        <w:t>Maximum achievable control technology (MACT) model point value</w:t>
      </w:r>
      <w:r w:rsidRPr="00455CCD">
        <w:rPr>
          <w:sz w:val="20"/>
          <w:szCs w:val="20"/>
        </w:rPr>
        <w:t xml:space="preserve"> means a number calculated for open molding operations that is a surrogate for emissions and is used to determine if your open molding operations are in compliance with the provisions of this subpart. The units for MACT model point values are kilograms of organic HAP per megagram of resin or gel coat applied.</w:t>
      </w:r>
    </w:p>
    <w:p w:rsidR="002039ED" w:rsidRPr="00455CCD" w:rsidRDefault="002039ED" w:rsidP="001E664D">
      <w:pPr>
        <w:pStyle w:val="NormalWeb"/>
        <w:rPr>
          <w:sz w:val="20"/>
          <w:szCs w:val="20"/>
        </w:rPr>
      </w:pPr>
      <w:r w:rsidRPr="00455CCD">
        <w:rPr>
          <w:i/>
          <w:iCs/>
          <w:sz w:val="20"/>
          <w:szCs w:val="20"/>
        </w:rPr>
        <w:t>Manufacturer's certification</w:t>
      </w:r>
      <w:r w:rsidRPr="00455CCD">
        <w:rPr>
          <w:sz w:val="20"/>
          <w:szCs w:val="20"/>
        </w:rPr>
        <w:t xml:space="preserve"> means documentation furnished by a material supplier that shows the organic HAP content of a material and includes a HDS.</w:t>
      </w:r>
    </w:p>
    <w:p w:rsidR="002039ED" w:rsidRPr="00455CCD" w:rsidRDefault="002039ED" w:rsidP="001E664D">
      <w:pPr>
        <w:pStyle w:val="NormalWeb"/>
        <w:rPr>
          <w:sz w:val="20"/>
          <w:szCs w:val="20"/>
        </w:rPr>
      </w:pPr>
      <w:r w:rsidRPr="00455CCD">
        <w:rPr>
          <w:i/>
          <w:iCs/>
          <w:sz w:val="20"/>
          <w:szCs w:val="20"/>
        </w:rPr>
        <w:t>Mold</w:t>
      </w:r>
      <w:r w:rsidRPr="00455CCD">
        <w:rPr>
          <w:sz w:val="20"/>
          <w:szCs w:val="20"/>
        </w:rPr>
        <w:t xml:space="preserve"> means the cavity or surface into or on which gel coat, resin, and fibers are placed and from which finished fiberglass parts take their form.</w:t>
      </w:r>
    </w:p>
    <w:p w:rsidR="002039ED" w:rsidRPr="00455CCD" w:rsidRDefault="002039ED" w:rsidP="001E664D">
      <w:pPr>
        <w:pStyle w:val="NormalWeb"/>
        <w:rPr>
          <w:sz w:val="20"/>
          <w:szCs w:val="20"/>
        </w:rPr>
      </w:pPr>
      <w:r w:rsidRPr="00455CCD">
        <w:rPr>
          <w:i/>
          <w:iCs/>
          <w:sz w:val="20"/>
          <w:szCs w:val="20"/>
        </w:rPr>
        <w:t>Mold sealing and release agents</w:t>
      </w:r>
      <w:r w:rsidRPr="00455CCD">
        <w:rPr>
          <w:sz w:val="20"/>
          <w:szCs w:val="20"/>
        </w:rPr>
        <w:t xml:space="preserve"> means materials applied to a mold to seal, polish, and lubricate the mold to prevent parts from sticking to the mold. Mold sealers, waxes, and glazing and buffing compounds are considered mold sealing and release agents for the purposes of this subpart.</w:t>
      </w:r>
    </w:p>
    <w:p w:rsidR="002039ED" w:rsidRPr="00455CCD" w:rsidRDefault="002039ED" w:rsidP="001E664D">
      <w:pPr>
        <w:pStyle w:val="NormalWeb"/>
        <w:rPr>
          <w:sz w:val="20"/>
          <w:szCs w:val="20"/>
        </w:rPr>
      </w:pPr>
      <w:r w:rsidRPr="00455CCD">
        <w:rPr>
          <w:i/>
          <w:iCs/>
          <w:sz w:val="20"/>
          <w:szCs w:val="20"/>
        </w:rPr>
        <w:t>Mold stripping and cleaning solvents</w:t>
      </w:r>
      <w:r w:rsidRPr="00455CCD">
        <w:rPr>
          <w:sz w:val="20"/>
          <w:szCs w:val="20"/>
        </w:rPr>
        <w:t xml:space="preserve"> means materials used to remove mold sealing and release agents from a mold before the mold surface is repaired, polished, or lubricated during normal mold maintenance.</w:t>
      </w:r>
    </w:p>
    <w:p w:rsidR="002039ED" w:rsidRPr="00455CCD" w:rsidRDefault="002039ED" w:rsidP="001E664D">
      <w:pPr>
        <w:pStyle w:val="NormalWeb"/>
        <w:rPr>
          <w:sz w:val="20"/>
          <w:szCs w:val="20"/>
        </w:rPr>
      </w:pPr>
      <w:r w:rsidRPr="00455CCD">
        <w:rPr>
          <w:i/>
          <w:iCs/>
          <w:sz w:val="20"/>
          <w:szCs w:val="20"/>
        </w:rPr>
        <w:t>Month</w:t>
      </w:r>
      <w:r w:rsidRPr="00455CCD">
        <w:rPr>
          <w:sz w:val="20"/>
          <w:szCs w:val="20"/>
        </w:rPr>
        <w:t xml:space="preserve"> means a calendar month.</w:t>
      </w:r>
    </w:p>
    <w:p w:rsidR="002039ED" w:rsidRPr="00455CCD" w:rsidRDefault="002039ED" w:rsidP="001E664D">
      <w:pPr>
        <w:pStyle w:val="NormalWeb"/>
        <w:rPr>
          <w:sz w:val="20"/>
          <w:szCs w:val="20"/>
        </w:rPr>
      </w:pPr>
      <w:r w:rsidRPr="00455CCD">
        <w:rPr>
          <w:i/>
          <w:iCs/>
          <w:sz w:val="20"/>
          <w:szCs w:val="20"/>
        </w:rPr>
        <w:t>Neat resin</w:t>
      </w:r>
      <w:r w:rsidRPr="00455CCD">
        <w:rPr>
          <w:sz w:val="20"/>
          <w:szCs w:val="20"/>
        </w:rPr>
        <w:t xml:space="preserve"> means a resin to which no filler has been added.</w:t>
      </w:r>
    </w:p>
    <w:p w:rsidR="002039ED" w:rsidRPr="00455CCD" w:rsidRDefault="002039ED" w:rsidP="001E664D">
      <w:pPr>
        <w:pStyle w:val="NormalWeb"/>
        <w:rPr>
          <w:sz w:val="20"/>
          <w:szCs w:val="20"/>
        </w:rPr>
      </w:pPr>
      <w:r w:rsidRPr="00455CCD">
        <w:rPr>
          <w:i/>
          <w:iCs/>
          <w:sz w:val="20"/>
          <w:szCs w:val="20"/>
        </w:rPr>
        <w:t>Nonatomized resin application</w:t>
      </w:r>
      <w:r w:rsidRPr="00455CCD">
        <w:rPr>
          <w:sz w:val="20"/>
          <w:szCs w:val="20"/>
        </w:rPr>
        <w:t xml:space="preserve"> means any application technology in which the resin is not broken into droplets or an aerosol as it travels from the application equipment to the surface of the part. Nonatomized resin application technology includes, but is not limited to, flowcoaters, chopper flowcoaters, pressure fed resin rollers, resin impregnators, and hand application (for example, paint brush or paint roller).</w:t>
      </w:r>
    </w:p>
    <w:p w:rsidR="002039ED" w:rsidRPr="00455CCD" w:rsidRDefault="002039ED" w:rsidP="001E664D">
      <w:pPr>
        <w:pStyle w:val="NormalWeb"/>
        <w:rPr>
          <w:sz w:val="20"/>
          <w:szCs w:val="20"/>
        </w:rPr>
      </w:pPr>
      <w:r w:rsidRPr="00455CCD">
        <w:rPr>
          <w:i/>
          <w:iCs/>
          <w:sz w:val="20"/>
          <w:szCs w:val="20"/>
        </w:rPr>
        <w:lastRenderedPageBreak/>
        <w:t>Open molding resin and gel coat operation</w:t>
      </w:r>
      <w:r w:rsidRPr="00455CCD">
        <w:rPr>
          <w:sz w:val="20"/>
          <w:szCs w:val="20"/>
        </w:rPr>
        <w:t xml:space="preserve"> 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rsidR="002039ED" w:rsidRPr="00455CCD" w:rsidRDefault="002039ED" w:rsidP="001E664D">
      <w:pPr>
        <w:pStyle w:val="NormalWeb"/>
        <w:rPr>
          <w:sz w:val="20"/>
          <w:szCs w:val="20"/>
        </w:rPr>
      </w:pPr>
      <w:r w:rsidRPr="00455CCD">
        <w:rPr>
          <w:i/>
          <w:iCs/>
          <w:sz w:val="20"/>
          <w:szCs w:val="20"/>
        </w:rPr>
        <w:t>Pigmented gel coat</w:t>
      </w:r>
      <w:r w:rsidRPr="00455CCD">
        <w:rPr>
          <w:sz w:val="20"/>
          <w:szCs w:val="20"/>
        </w:rPr>
        <w:t xml:space="preserve"> means opaque gel coats used to manufacture parts for sale. Pigmented gel coats do not include tooling gel coats used to build or repair molds.</w:t>
      </w:r>
    </w:p>
    <w:p w:rsidR="002039ED" w:rsidRPr="00455CCD" w:rsidRDefault="002039ED" w:rsidP="001E664D">
      <w:pPr>
        <w:pStyle w:val="NormalWeb"/>
        <w:rPr>
          <w:sz w:val="20"/>
          <w:szCs w:val="20"/>
        </w:rPr>
      </w:pPr>
      <w:r w:rsidRPr="00455CCD">
        <w:rPr>
          <w:i/>
          <w:iCs/>
          <w:sz w:val="20"/>
          <w:szCs w:val="20"/>
        </w:rPr>
        <w:t>Production resin</w:t>
      </w:r>
      <w:r w:rsidRPr="00455CCD">
        <w:rPr>
          <w:sz w:val="20"/>
          <w:szCs w:val="20"/>
        </w:rPr>
        <w:t xml:space="preserve"> means any resin used to manufacture parts for sale. Production resins do not include tooling resins used to build or repair molds, or assembly adhesives as defined in this section.</w:t>
      </w:r>
    </w:p>
    <w:p w:rsidR="002039ED" w:rsidRPr="00455CCD" w:rsidRDefault="002039ED" w:rsidP="001E664D">
      <w:pPr>
        <w:pStyle w:val="NormalWeb"/>
        <w:rPr>
          <w:sz w:val="20"/>
          <w:szCs w:val="20"/>
        </w:rPr>
      </w:pPr>
      <w:r w:rsidRPr="00455CCD">
        <w:rPr>
          <w:i/>
          <w:iCs/>
          <w:sz w:val="20"/>
          <w:szCs w:val="20"/>
        </w:rPr>
        <w:t>Recycled resin and gel coat application equipment cleaning solvent</w:t>
      </w:r>
      <w:r w:rsidRPr="00455CCD">
        <w:rPr>
          <w:sz w:val="20"/>
          <w:szCs w:val="20"/>
        </w:rPr>
        <w:t xml:space="preserve"> means cleaning solvents recycled on-site or returned to the supplier or another party to remove resin or gel coat residues so that the solvent can be reused.</w:t>
      </w:r>
    </w:p>
    <w:p w:rsidR="002039ED" w:rsidRPr="00455CCD" w:rsidRDefault="002039ED" w:rsidP="001E664D">
      <w:pPr>
        <w:pStyle w:val="NormalWeb"/>
        <w:rPr>
          <w:sz w:val="20"/>
          <w:szCs w:val="20"/>
        </w:rPr>
      </w:pPr>
      <w:r w:rsidRPr="00455CCD">
        <w:rPr>
          <w:i/>
          <w:iCs/>
          <w:sz w:val="20"/>
          <w:szCs w:val="20"/>
        </w:rPr>
        <w:t>Research and development activities</w:t>
      </w:r>
      <w:r w:rsidRPr="00455CCD">
        <w:rPr>
          <w:sz w:val="20"/>
          <w:szCs w:val="20"/>
        </w:rPr>
        <w:t xml:space="preserve"> means:</w:t>
      </w:r>
    </w:p>
    <w:p w:rsidR="002039ED" w:rsidRPr="00455CCD" w:rsidRDefault="002039ED" w:rsidP="001E664D">
      <w:pPr>
        <w:pStyle w:val="NormalWeb"/>
        <w:rPr>
          <w:sz w:val="20"/>
          <w:szCs w:val="20"/>
        </w:rPr>
      </w:pPr>
      <w:r w:rsidRPr="00455CCD">
        <w:rPr>
          <w:sz w:val="20"/>
          <w:szCs w:val="20"/>
        </w:rPr>
        <w:t>(1) Activities conducted at a laboratory to analyze air, soil, water, waste, or product samples for contaminants, environmental impact, or quality control;</w:t>
      </w:r>
    </w:p>
    <w:p w:rsidR="002039ED" w:rsidRPr="00455CCD" w:rsidRDefault="002039ED" w:rsidP="001E664D">
      <w:pPr>
        <w:pStyle w:val="NormalWeb"/>
        <w:rPr>
          <w:sz w:val="20"/>
          <w:szCs w:val="20"/>
        </w:rPr>
      </w:pPr>
      <w:r w:rsidRPr="00455CCD">
        <w:rPr>
          <w:sz w:val="20"/>
          <w:szCs w:val="20"/>
        </w:rPr>
        <w:t xml:space="preserve">(2) 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455CCD">
        <w:rPr>
          <w:i/>
          <w:iCs/>
          <w:sz w:val="20"/>
          <w:szCs w:val="20"/>
        </w:rPr>
        <w:t>de minimis</w:t>
      </w:r>
      <w:r w:rsidRPr="00455CCD">
        <w:rPr>
          <w:sz w:val="20"/>
          <w:szCs w:val="20"/>
        </w:rPr>
        <w:t xml:space="preserve"> manner; and</w:t>
      </w:r>
    </w:p>
    <w:p w:rsidR="002039ED" w:rsidRPr="00455CCD" w:rsidRDefault="002039ED" w:rsidP="001E664D">
      <w:pPr>
        <w:pStyle w:val="NormalWeb"/>
        <w:rPr>
          <w:sz w:val="20"/>
          <w:szCs w:val="20"/>
        </w:rPr>
      </w:pPr>
      <w:r w:rsidRPr="00455CCD">
        <w:rPr>
          <w:sz w:val="20"/>
          <w:szCs w:val="20"/>
        </w:rPr>
        <w:t xml:space="preserve">(3) 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455CCD">
        <w:rPr>
          <w:i/>
          <w:iCs/>
          <w:sz w:val="20"/>
          <w:szCs w:val="20"/>
        </w:rPr>
        <w:t>de minimis</w:t>
      </w:r>
      <w:r w:rsidRPr="00455CCD">
        <w:rPr>
          <w:sz w:val="20"/>
          <w:szCs w:val="20"/>
        </w:rPr>
        <w:t xml:space="preserve"> manner.</w:t>
      </w:r>
    </w:p>
    <w:p w:rsidR="002039ED" w:rsidRPr="00455CCD" w:rsidRDefault="002039ED" w:rsidP="001E664D">
      <w:pPr>
        <w:pStyle w:val="NormalWeb"/>
        <w:rPr>
          <w:sz w:val="20"/>
          <w:szCs w:val="20"/>
        </w:rPr>
      </w:pPr>
      <w:r w:rsidRPr="00455CCD">
        <w:rPr>
          <w:i/>
          <w:iCs/>
          <w:sz w:val="20"/>
          <w:szCs w:val="20"/>
        </w:rPr>
        <w:t>Resin</w:t>
      </w:r>
      <w:r w:rsidRPr="00455CCD">
        <w:rPr>
          <w:sz w:val="20"/>
          <w:szCs w:val="20"/>
        </w:rPr>
        <w:t xml:space="preserve"> means any thermosetting resin with or without pigment containing styrene (CAS No. 100-42-5) or methyl methacrylate (CAS No. 80-62-6) and used to encapsulate and bind together reinforcement fibers in the construction of fiberglass parts.</w:t>
      </w:r>
    </w:p>
    <w:p w:rsidR="002039ED" w:rsidRPr="00455CCD" w:rsidRDefault="002039ED" w:rsidP="001E664D">
      <w:pPr>
        <w:pStyle w:val="NormalWeb"/>
        <w:rPr>
          <w:sz w:val="20"/>
          <w:szCs w:val="20"/>
        </w:rPr>
      </w:pPr>
      <w:r w:rsidRPr="00455CCD">
        <w:rPr>
          <w:i/>
          <w:iCs/>
          <w:sz w:val="20"/>
          <w:szCs w:val="20"/>
        </w:rPr>
        <w:t>Resin and gel coat application equipment cleaning</w:t>
      </w:r>
      <w:r w:rsidRPr="00455CCD">
        <w:rPr>
          <w:sz w:val="20"/>
          <w:szCs w:val="20"/>
        </w:rPr>
        <w:t xml:space="preserve"> means the process of flushing or removing resins and gel coats from the interior or exterior of equipment that is used to apply resin or gel coat in the manufacture of fiberglass parts.</w:t>
      </w:r>
    </w:p>
    <w:p w:rsidR="002039ED" w:rsidRPr="00455CCD" w:rsidRDefault="002039ED" w:rsidP="001E664D">
      <w:pPr>
        <w:pStyle w:val="NormalWeb"/>
        <w:rPr>
          <w:sz w:val="20"/>
          <w:szCs w:val="20"/>
        </w:rPr>
      </w:pPr>
      <w:r w:rsidRPr="00455CCD">
        <w:rPr>
          <w:i/>
          <w:iCs/>
          <w:sz w:val="20"/>
          <w:szCs w:val="20"/>
        </w:rPr>
        <w:t>Resin and gel coat mixing operation</w:t>
      </w:r>
      <w:r w:rsidRPr="00455CCD">
        <w:rPr>
          <w:sz w:val="20"/>
          <w:szCs w:val="20"/>
        </w:rPr>
        <w:t xml:space="preserve"> means any operation in which resin or gel coat, including the mixing of putties or polyputties, is combined with additives that include, but are not limited to, fillers, promoters, or catalysts.</w:t>
      </w:r>
    </w:p>
    <w:p w:rsidR="002039ED" w:rsidRPr="00455CCD" w:rsidRDefault="002039ED" w:rsidP="001E664D">
      <w:pPr>
        <w:pStyle w:val="NormalWeb"/>
        <w:rPr>
          <w:sz w:val="20"/>
          <w:szCs w:val="20"/>
        </w:rPr>
      </w:pPr>
      <w:r w:rsidRPr="00455CCD">
        <w:rPr>
          <w:i/>
          <w:iCs/>
          <w:sz w:val="20"/>
          <w:szCs w:val="20"/>
        </w:rPr>
        <w:t>Roll-out</w:t>
      </w:r>
      <w:r w:rsidRPr="00455CCD">
        <w:rPr>
          <w:sz w:val="20"/>
          <w:szCs w:val="20"/>
        </w:rPr>
        <w:t xml:space="preserve"> means the process of using rollers, squeegees, or similar tools to compact reinforcing materials saturated with resin to remove trapped air or excess resin.</w:t>
      </w:r>
    </w:p>
    <w:p w:rsidR="002039ED" w:rsidRPr="00455CCD" w:rsidRDefault="002039ED" w:rsidP="001E664D">
      <w:pPr>
        <w:pStyle w:val="NormalWeb"/>
        <w:rPr>
          <w:sz w:val="20"/>
          <w:szCs w:val="20"/>
        </w:rPr>
      </w:pPr>
      <w:r w:rsidRPr="00455CCD">
        <w:rPr>
          <w:i/>
          <w:iCs/>
          <w:sz w:val="20"/>
          <w:szCs w:val="20"/>
        </w:rPr>
        <w:t>Skin coat</w:t>
      </w:r>
      <w:r w:rsidRPr="00455CCD">
        <w:rPr>
          <w:sz w:val="20"/>
          <w:szCs w:val="20"/>
        </w:rPr>
        <w:t xml:space="preserve"> is a layer of resin and fibers applied over the gel coat to protect the gel coat from being deformed by the next laminate layers.</w:t>
      </w:r>
    </w:p>
    <w:p w:rsidR="002039ED" w:rsidRPr="00455CCD" w:rsidRDefault="002039ED" w:rsidP="001E664D">
      <w:pPr>
        <w:pStyle w:val="NormalWeb"/>
        <w:rPr>
          <w:sz w:val="20"/>
          <w:szCs w:val="20"/>
        </w:rPr>
      </w:pPr>
      <w:r w:rsidRPr="00455CCD">
        <w:rPr>
          <w:i/>
          <w:iCs/>
          <w:sz w:val="20"/>
          <w:szCs w:val="20"/>
        </w:rPr>
        <w:t>Tooling resin</w:t>
      </w:r>
      <w:r w:rsidRPr="00455CCD">
        <w:rPr>
          <w:sz w:val="20"/>
          <w:szCs w:val="20"/>
        </w:rPr>
        <w:t xml:space="preserve"> means the resin used to build or repair molds (also known as tools) or prototypes (also known as plugs) from which molds will be made.</w:t>
      </w:r>
    </w:p>
    <w:p w:rsidR="002039ED" w:rsidRPr="00455CCD" w:rsidRDefault="002039ED" w:rsidP="001E664D">
      <w:pPr>
        <w:pStyle w:val="NormalWeb"/>
        <w:rPr>
          <w:sz w:val="20"/>
          <w:szCs w:val="20"/>
        </w:rPr>
      </w:pPr>
      <w:r w:rsidRPr="00455CCD">
        <w:rPr>
          <w:i/>
          <w:iCs/>
          <w:sz w:val="20"/>
          <w:szCs w:val="20"/>
        </w:rPr>
        <w:t>Tooling gel coat</w:t>
      </w:r>
      <w:r w:rsidRPr="00455CCD">
        <w:rPr>
          <w:sz w:val="20"/>
          <w:szCs w:val="20"/>
        </w:rPr>
        <w:t xml:space="preserve"> means the gel coat used to build or repair molds (also known as tools) or prototypes (also known as plugs) from which molds will be made.</w:t>
      </w:r>
    </w:p>
    <w:p w:rsidR="002039ED" w:rsidRPr="00455CCD" w:rsidRDefault="002039ED" w:rsidP="001E664D">
      <w:pPr>
        <w:pStyle w:val="NormalWeb"/>
        <w:rPr>
          <w:sz w:val="20"/>
          <w:szCs w:val="20"/>
        </w:rPr>
      </w:pPr>
      <w:r w:rsidRPr="00455CCD">
        <w:rPr>
          <w:i/>
          <w:iCs/>
          <w:sz w:val="20"/>
          <w:szCs w:val="20"/>
        </w:rPr>
        <w:t>Vacuum bagging</w:t>
      </w:r>
      <w:r w:rsidRPr="00455CCD">
        <w:rPr>
          <w:sz w:val="20"/>
          <w:szCs w:val="20"/>
        </w:rPr>
        <w:t xml:space="preserve"> 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rsidR="002039ED" w:rsidRPr="00455CCD" w:rsidRDefault="002039ED" w:rsidP="001E664D">
      <w:pPr>
        <w:pStyle w:val="NormalWeb"/>
        <w:rPr>
          <w:sz w:val="20"/>
          <w:szCs w:val="20"/>
        </w:rPr>
      </w:pPr>
      <w:r w:rsidRPr="00455CCD">
        <w:rPr>
          <w:i/>
          <w:iCs/>
          <w:sz w:val="20"/>
          <w:szCs w:val="20"/>
        </w:rPr>
        <w:lastRenderedPageBreak/>
        <w:t>Vinylester resin</w:t>
      </w:r>
      <w:r w:rsidRPr="00455CCD">
        <w:rPr>
          <w:sz w:val="20"/>
          <w:szCs w:val="20"/>
        </w:rPr>
        <w:t xml:space="preserve"> means a thermosetting resin containing esters of acrylic or methacrylic acids and having double-bond and ester linkage sites only at the ends of the resin molecules.</w:t>
      </w:r>
    </w:p>
    <w:p w:rsidR="002039ED" w:rsidRPr="00455CCD" w:rsidRDefault="002039ED" w:rsidP="001E664D">
      <w:pPr>
        <w:pStyle w:val="NormalWeb"/>
        <w:rPr>
          <w:sz w:val="20"/>
          <w:szCs w:val="20"/>
        </w:rPr>
      </w:pPr>
      <w:r w:rsidRPr="00455CCD">
        <w:rPr>
          <w:i/>
          <w:iCs/>
          <w:sz w:val="20"/>
          <w:szCs w:val="20"/>
        </w:rPr>
        <w:t>Volume fraction of coating solids</w:t>
      </w:r>
      <w:r w:rsidRPr="00455CCD">
        <w:rPr>
          <w:sz w:val="20"/>
          <w:szCs w:val="20"/>
        </w:rPr>
        <w:t xml:space="preserve"> means the ratio of the volume of coating solids (also known as volume of nonvolatiles) to the volume of coating; liters of coating solids per liter of coating.</w:t>
      </w:r>
    </w:p>
    <w:p w:rsidR="002039ED" w:rsidRPr="00455CCD" w:rsidRDefault="002039ED" w:rsidP="001E664D">
      <w:pPr>
        <w:pStyle w:val="NormalWeb"/>
        <w:rPr>
          <w:sz w:val="20"/>
          <w:szCs w:val="20"/>
        </w:rPr>
      </w:pPr>
      <w:r w:rsidRPr="00455CCD">
        <w:rPr>
          <w:i/>
          <w:iCs/>
          <w:sz w:val="20"/>
          <w:szCs w:val="20"/>
        </w:rPr>
        <w:t>Wood coatings</w:t>
      </w:r>
      <w:r w:rsidRPr="00455CCD">
        <w:rPr>
          <w:sz w:val="20"/>
          <w:szCs w:val="20"/>
        </w:rPr>
        <w:t xml:space="preserve"> means coatings applied to wooden parts and surfaces of boats, such as paneling, cabinets, railings, and trim. Wood coatings include, but are not limited to, primers, stains, sealers, varnishes, and enamels. Polyester and vinylester resins or gel coats applied to wooden parts to encapsulate them or bond them to other parts are not wood coatings.</w:t>
      </w:r>
    </w:p>
    <w:p w:rsidR="002039ED" w:rsidRPr="00455CCD" w:rsidRDefault="002039ED" w:rsidP="001E664D">
      <w:pPr>
        <w:pStyle w:val="Heading2"/>
        <w:rPr>
          <w:rFonts w:ascii="Times New Roman" w:hAnsi="Times New Roman" w:cs="Times New Roman"/>
          <w:color w:val="auto"/>
          <w:sz w:val="20"/>
          <w:szCs w:val="20"/>
        </w:rPr>
      </w:pPr>
      <w:bookmarkStart w:id="50" w:name="40:13.0.1.1.1.28.371.38.159"/>
      <w:bookmarkEnd w:id="50"/>
      <w:r w:rsidRPr="00455CCD">
        <w:rPr>
          <w:rFonts w:ascii="Times New Roman" w:hAnsi="Times New Roman" w:cs="Times New Roman"/>
          <w:color w:val="auto"/>
          <w:sz w:val="20"/>
          <w:szCs w:val="20"/>
        </w:rPr>
        <w:t>Table 1 to Subpart VVVV of Part 63—Compliance Dates for New and Existing Boat Manufacturing Facilities</w:t>
      </w:r>
    </w:p>
    <w:p w:rsidR="002039ED" w:rsidRPr="00455CCD" w:rsidRDefault="002039ED" w:rsidP="001E664D">
      <w:pPr>
        <w:pStyle w:val="NormalWeb"/>
        <w:rPr>
          <w:sz w:val="20"/>
          <w:szCs w:val="20"/>
        </w:rPr>
      </w:pPr>
      <w:r w:rsidRPr="00455CCD">
        <w:rPr>
          <w:sz w:val="20"/>
          <w:szCs w:val="20"/>
        </w:rPr>
        <w:t>As specified in § 63.5695, you must comply by the dates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194"/>
        <w:gridCol w:w="3086"/>
        <w:gridCol w:w="4830"/>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If your facility is—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And—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Then you must comply by this date—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An existing source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Is a major source on or before August 22, 2001</w:t>
            </w:r>
            <w:r w:rsidRPr="00455CCD">
              <w:rPr>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August 23, 2004.</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 An existing or new area source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Becomes a major source after August 22, 2001</w:t>
            </w:r>
            <w:r w:rsidRPr="00455CCD">
              <w:rPr>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year after becoming a major source or August 22, 2002, whichever is later.</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 A new source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Is a major source at startup </w:t>
            </w:r>
            <w:r w:rsidRPr="00455CCD">
              <w:rPr>
                <w:sz w:val="20"/>
                <w:szCs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Upon startup or August 22, 2001, whichever is later.</w:t>
            </w:r>
          </w:p>
        </w:tc>
      </w:tr>
    </w:tbl>
    <w:p w:rsidR="002039ED" w:rsidRPr="00455CCD" w:rsidRDefault="002039ED" w:rsidP="001E664D">
      <w:pPr>
        <w:pStyle w:val="gpotblnote"/>
        <w:rPr>
          <w:sz w:val="20"/>
          <w:szCs w:val="20"/>
        </w:rPr>
      </w:pPr>
      <w:r w:rsidRPr="00455CCD">
        <w:rPr>
          <w:sz w:val="20"/>
          <w:szCs w:val="20"/>
          <w:vertAlign w:val="superscript"/>
        </w:rPr>
        <w:t>1</w:t>
      </w:r>
      <w:r w:rsidRPr="00455CCD">
        <w:rPr>
          <w:sz w:val="20"/>
          <w:szCs w:val="20"/>
        </w:rPr>
        <w:t>Your facility is a major source if it is a stationary source or group of stationary sources located within a contiguous area and under common control that emits or can potentially emit, considering controls, in the aggregate, 9.1 megagrams or more per year of a single hazardous air pollutant or 22.7 megagrams or more per year of a combination of hazardous air pollutants.</w:t>
      </w:r>
    </w:p>
    <w:p w:rsidR="002039ED" w:rsidRPr="00455CCD" w:rsidRDefault="002039ED" w:rsidP="001E664D">
      <w:pPr>
        <w:pStyle w:val="Heading2"/>
        <w:rPr>
          <w:rFonts w:ascii="Times New Roman" w:hAnsi="Times New Roman" w:cs="Times New Roman"/>
          <w:color w:val="auto"/>
          <w:sz w:val="20"/>
          <w:szCs w:val="20"/>
        </w:rPr>
      </w:pPr>
      <w:bookmarkStart w:id="51" w:name="40:13.0.1.1.1.28.371.38.160"/>
      <w:bookmarkEnd w:id="51"/>
      <w:r w:rsidRPr="00455CCD">
        <w:rPr>
          <w:rFonts w:ascii="Times New Roman" w:hAnsi="Times New Roman" w:cs="Times New Roman"/>
          <w:color w:val="auto"/>
          <w:sz w:val="20"/>
          <w:szCs w:val="20"/>
        </w:rPr>
        <w:t>Table 2 to Subpart VVVV of Part 63—Alternative Organic HAP Content Requirements for Open Molding Resin and Gel Coat Operations</w:t>
      </w:r>
    </w:p>
    <w:p w:rsidR="002039ED" w:rsidRPr="00455CCD" w:rsidRDefault="002039ED" w:rsidP="001E664D">
      <w:pPr>
        <w:pStyle w:val="NormalWeb"/>
        <w:rPr>
          <w:sz w:val="20"/>
          <w:szCs w:val="20"/>
        </w:rPr>
      </w:pPr>
      <w:r w:rsidRPr="00455CCD">
        <w:rPr>
          <w:sz w:val="20"/>
          <w:szCs w:val="20"/>
        </w:rPr>
        <w:t>As specified in §§ 63.5701(b), 63.5704(b)(2),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96"/>
        <w:gridCol w:w="2122"/>
        <w:gridCol w:w="5892"/>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For this operation—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And this application method—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You must not exceed this weighted-average organic HAP content (weight percent) requirement—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28 percent.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35 percent.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 Pigmented gel coat operations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33 percent.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4. Clear gel coat operations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48 percent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5.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30 percent.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39 percent.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7. Tooling gel coat operations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40 percent.</w:t>
            </w:r>
          </w:p>
        </w:tc>
      </w:tr>
    </w:tbl>
    <w:p w:rsidR="002039ED" w:rsidRPr="00455CCD" w:rsidRDefault="002039ED" w:rsidP="001E664D">
      <w:pPr>
        <w:pStyle w:val="Heading2"/>
        <w:rPr>
          <w:rFonts w:ascii="Times New Roman" w:hAnsi="Times New Roman" w:cs="Times New Roman"/>
          <w:color w:val="auto"/>
          <w:sz w:val="20"/>
          <w:szCs w:val="20"/>
        </w:rPr>
      </w:pPr>
      <w:bookmarkStart w:id="52" w:name="40:13.0.1.1.1.28.371.38.161"/>
      <w:bookmarkEnd w:id="52"/>
      <w:r w:rsidRPr="00455CCD">
        <w:rPr>
          <w:rFonts w:ascii="Times New Roman" w:hAnsi="Times New Roman" w:cs="Times New Roman"/>
          <w:color w:val="auto"/>
          <w:sz w:val="20"/>
          <w:szCs w:val="20"/>
        </w:rPr>
        <w:lastRenderedPageBreak/>
        <w:t>Table 3 to Subpart VVVV of Part 63—MACT Model Point Value Formulas for Open Molding Operations </w:t>
      </w:r>
      <w:r w:rsidRPr="00455CCD">
        <w:rPr>
          <w:rFonts w:ascii="Times New Roman" w:hAnsi="Times New Roman" w:cs="Times New Roman"/>
          <w:color w:val="auto"/>
          <w:sz w:val="20"/>
          <w:szCs w:val="20"/>
          <w:vertAlign w:val="superscript"/>
        </w:rPr>
        <w:t>1</w:t>
      </w:r>
      <w:r w:rsidRPr="00455CCD">
        <w:rPr>
          <w:rFonts w:ascii="Times New Roman" w:hAnsi="Times New Roman" w:cs="Times New Roman"/>
          <w:color w:val="auto"/>
          <w:sz w:val="20"/>
          <w:szCs w:val="20"/>
        </w:rPr>
        <w:t xml:space="preserve"> </w:t>
      </w:r>
    </w:p>
    <w:p w:rsidR="002039ED" w:rsidRPr="00455CCD" w:rsidRDefault="002039ED" w:rsidP="001E664D">
      <w:pPr>
        <w:pStyle w:val="NormalWeb"/>
        <w:rPr>
          <w:sz w:val="20"/>
          <w:szCs w:val="20"/>
        </w:rPr>
      </w:pPr>
      <w:r w:rsidRPr="00455CCD">
        <w:rPr>
          <w:sz w:val="20"/>
          <w:szCs w:val="20"/>
        </w:rPr>
        <w:t>As specified in §§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772"/>
        <w:gridCol w:w="2887"/>
        <w:gridCol w:w="4451"/>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For this operation—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And this application method—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Use this formula to calculate the MACT model plant value for each resin and gel coat—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 Atomized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0.014 × (Resin HAP%)</w:t>
            </w:r>
            <w:r w:rsidRPr="00455CCD">
              <w:rPr>
                <w:sz w:val="20"/>
                <w:szCs w:val="20"/>
                <w:vertAlign w:val="superscript"/>
              </w:rPr>
              <w:t>2.425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0.01185 × (Resin HAP%)</w:t>
            </w:r>
            <w:r w:rsidRPr="00455CCD">
              <w:rPr>
                <w:sz w:val="20"/>
                <w:szCs w:val="20"/>
                <w:vertAlign w:val="superscript"/>
              </w:rPr>
              <w:t>2.425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0.00945 × (Resin HAP%)</w:t>
            </w:r>
            <w:r w:rsidRPr="00455CCD">
              <w:rPr>
                <w:sz w:val="20"/>
                <w:szCs w:val="20"/>
                <w:vertAlign w:val="superscript"/>
              </w:rPr>
              <w:t>2.425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d. Nonatomized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0.014 × (Resin HAP%)</w:t>
            </w:r>
            <w:r w:rsidRPr="00455CCD">
              <w:rPr>
                <w:sz w:val="20"/>
                <w:szCs w:val="20"/>
                <w:vertAlign w:val="superscript"/>
              </w:rPr>
              <w:t>2.275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e. Nonatomized, plus vaccum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0.0110 × (Resin HAP%)</w:t>
            </w:r>
            <w:r w:rsidRPr="00455CCD">
              <w:rPr>
                <w:sz w:val="20"/>
                <w:szCs w:val="20"/>
                <w:vertAlign w:val="superscript"/>
              </w:rPr>
              <w:t>2.275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f. Nonatomized,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0.0076 × (Resin HAP%)</w:t>
            </w:r>
            <w:r w:rsidRPr="00455CCD">
              <w:rPr>
                <w:sz w:val="20"/>
                <w:szCs w:val="20"/>
                <w:vertAlign w:val="superscript"/>
              </w:rPr>
              <w:t>2.275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All methods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0.445 × (Gel coat HAP%)</w:t>
            </w:r>
            <w:r w:rsidRPr="00455CCD">
              <w:rPr>
                <w:sz w:val="20"/>
                <w:szCs w:val="20"/>
                <w:vertAlign w:val="superscript"/>
              </w:rPr>
              <w:t>1.675</w:t>
            </w:r>
          </w:p>
        </w:tc>
      </w:tr>
    </w:tbl>
    <w:p w:rsidR="002039ED" w:rsidRPr="00455CCD" w:rsidRDefault="002039ED" w:rsidP="001E664D">
      <w:pPr>
        <w:pStyle w:val="gpotblnote"/>
        <w:rPr>
          <w:sz w:val="20"/>
          <w:szCs w:val="20"/>
        </w:rPr>
      </w:pPr>
      <w:r w:rsidRPr="00455CCD">
        <w:rPr>
          <w:sz w:val="20"/>
          <w:szCs w:val="20"/>
          <w:vertAlign w:val="superscript"/>
        </w:rPr>
        <w:t>1</w:t>
      </w:r>
      <w:r w:rsidRPr="00455CCD">
        <w:rPr>
          <w:sz w:val="20"/>
          <w:szCs w:val="20"/>
        </w:rPr>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rsidR="002039ED" w:rsidRPr="00455CCD" w:rsidRDefault="002039ED" w:rsidP="001E664D">
      <w:pPr>
        <w:pStyle w:val="cita"/>
        <w:rPr>
          <w:sz w:val="20"/>
          <w:szCs w:val="20"/>
        </w:rPr>
      </w:pPr>
      <w:r w:rsidRPr="00455CCD">
        <w:rPr>
          <w:sz w:val="20"/>
          <w:szCs w:val="20"/>
        </w:rPr>
        <w:t>[66 FR 44232, Aug. 22, 2001; 66 FR 50504, Oct. 3, 2001]</w:t>
      </w:r>
    </w:p>
    <w:p w:rsidR="002039ED" w:rsidRPr="00455CCD" w:rsidRDefault="002039ED" w:rsidP="001E664D">
      <w:pPr>
        <w:pStyle w:val="Heading2"/>
        <w:rPr>
          <w:rFonts w:ascii="Times New Roman" w:hAnsi="Times New Roman" w:cs="Times New Roman"/>
          <w:color w:val="auto"/>
          <w:sz w:val="20"/>
          <w:szCs w:val="20"/>
        </w:rPr>
      </w:pPr>
      <w:bookmarkStart w:id="53" w:name="40:13.0.1.1.1.28.371.38.162"/>
      <w:bookmarkEnd w:id="53"/>
      <w:r w:rsidRPr="00455CCD">
        <w:rPr>
          <w:rFonts w:ascii="Times New Roman" w:hAnsi="Times New Roman" w:cs="Times New Roman"/>
          <w:color w:val="auto"/>
          <w:sz w:val="20"/>
          <w:szCs w:val="20"/>
        </w:rPr>
        <w:t>Table 4 to Subpart VVVV of Part 63—Operating Limits if Using an Add-on Control Device for Open Molding Operations</w:t>
      </w:r>
    </w:p>
    <w:p w:rsidR="002039ED" w:rsidRPr="00455CCD" w:rsidRDefault="002039ED" w:rsidP="001E664D">
      <w:pPr>
        <w:pStyle w:val="NormalWeb"/>
        <w:rPr>
          <w:sz w:val="20"/>
          <w:szCs w:val="20"/>
        </w:rPr>
      </w:pPr>
      <w:r w:rsidRPr="00455CCD">
        <w:rPr>
          <w:sz w:val="20"/>
          <w:szCs w:val="20"/>
        </w:rPr>
        <w:t>As specified in §§ 63.5715(a) and 63.5725(f)(5), you must meet the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22"/>
        <w:gridCol w:w="4294"/>
        <w:gridCol w:w="4294"/>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For the following device—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You must meet the following operating limit—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And you must demonstrate continuous compliance with the operating limit by—</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The average combustion temperature in any 3-hour period must not fall below the combustion temperature limit established according to § 63.5725(d)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 Collecting the combustion temperature data according to § 63.5725(d); b. reducing the data to 3-hour block averages; and c. maintaining the 3-hour average combustion temperature at or above the temperature limit.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 Other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An operating limit approved by the Administrator according to § 63.8(f)</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 Collecting parameter monitoring as approved by the Administrator according to § 63.8(f); and b. maintaining the parameters within the operating limits approved according to § 63.8(f).</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 Emission capture system that is a PTE according to § 63.5719(b)</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xml:space="preserve">a. The direction of the air flow at all times must be into the enclosure; and b. in any 3-hour period, either the average facial velocity of air through all natural draft openings in the enclosure must be at least 200 feet per minute; or c. the pressure drop across the </w:t>
            </w:r>
            <w:r w:rsidRPr="00455CCD">
              <w:rPr>
                <w:sz w:val="20"/>
                <w:szCs w:val="20"/>
              </w:rPr>
              <w:lastRenderedPageBreak/>
              <w:t>enclosure must be at least 0.007 inch H</w:t>
            </w:r>
            <w:r w:rsidRPr="00455CCD">
              <w:rPr>
                <w:sz w:val="20"/>
                <w:szCs w:val="20"/>
                <w:vertAlign w:val="subscript"/>
              </w:rPr>
              <w:t>2</w:t>
            </w:r>
            <w:r w:rsidRPr="00455CCD">
              <w:rPr>
                <w:sz w:val="20"/>
                <w:szCs w:val="20"/>
              </w:rPr>
              <w:t>O, as established in Method 204 of appendix M to 40 CFR part 51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 xml:space="preserve">i. Collecting the direction of air flow, and either the facial velocity of air through all natural draft openings according to § 63.5725(f)(3) or the pressure drop across the enclosure according to § 63.5725(f)(4); and ii. reducing the data for facial </w:t>
            </w:r>
            <w:r w:rsidRPr="00455CCD">
              <w:rPr>
                <w:sz w:val="20"/>
                <w:szCs w:val="20"/>
              </w:rPr>
              <w:lastRenderedPageBreak/>
              <w:t>velocity or pressure drop to 3-hour block averages; and iii. maintaining the 3-hour average facial velocity of air flow through all natural draft openings or the pressure drop at or above the facial velocity limit or pressure drop limit, and maintaining the direction of air flow into the enclosure at all times.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4. Emission capture system that is not a PTE according to § 63.5719(b)</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 63.5725(f)(5); and b. the average pressure drop across an opening in each enclosure in any 3-hour period must not fall below the average pressure drop limit established for that capture device according to § 63.5725(f)(5)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i. Collecting the gas volumetric flow rate or duct static pressure for each capture device according to § 63.5725(f)(1) and (3); ii. reducing the data to 3-hour block averages; iii. maintaining the 3-hour average gas volumetric flow rate or duct static pressure for each capture device at or above the gas volumetric flow rate or duct static pressure limit; iv. collecting data for the pressure drop across an opening in each enclosure according to § 63.5725(f)(2) and (4); v. reducing the data to 3-hour block averages; and vi. maintaining the 3-hour average pressure drop across the opening for each enclosure at or above the gas volumetric flow rate or duct static pressure limit.</w:t>
            </w:r>
          </w:p>
        </w:tc>
      </w:tr>
    </w:tbl>
    <w:p w:rsidR="002039ED" w:rsidRPr="00455CCD" w:rsidRDefault="002039ED" w:rsidP="001E664D">
      <w:pPr>
        <w:pStyle w:val="Heading2"/>
        <w:rPr>
          <w:rFonts w:ascii="Times New Roman" w:hAnsi="Times New Roman" w:cs="Times New Roman"/>
          <w:color w:val="auto"/>
          <w:sz w:val="20"/>
          <w:szCs w:val="20"/>
        </w:rPr>
      </w:pPr>
      <w:bookmarkStart w:id="54" w:name="40:13.0.1.1.1.28.371.38.163"/>
      <w:bookmarkEnd w:id="54"/>
      <w:r w:rsidRPr="00455CCD">
        <w:rPr>
          <w:rFonts w:ascii="Times New Roman" w:hAnsi="Times New Roman" w:cs="Times New Roman"/>
          <w:color w:val="auto"/>
          <w:sz w:val="20"/>
          <w:szCs w:val="20"/>
        </w:rPr>
        <w:t>Table 5 to Subpart VVVV of Part 63—Default Organic HAP Contents of Solvents and Solvent Blends</w:t>
      </w:r>
    </w:p>
    <w:p w:rsidR="002039ED" w:rsidRPr="00455CCD" w:rsidRDefault="002039ED" w:rsidP="001E664D">
      <w:pPr>
        <w:pStyle w:val="NormalWeb"/>
        <w:rPr>
          <w:sz w:val="20"/>
          <w:szCs w:val="20"/>
        </w:rPr>
      </w:pPr>
      <w:r w:rsidRPr="00455CCD">
        <w:rPr>
          <w:sz w:val="20"/>
          <w:szCs w:val="20"/>
        </w:rPr>
        <w:t>As specified in §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22"/>
        <w:gridCol w:w="922"/>
        <w:gridCol w:w="3691"/>
        <w:gridCol w:w="3075"/>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Solvent/solvent blend</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Average organic HAP content, percent by mass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Typical organic HAP, percent by mass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Toluene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108-88-3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Toluene.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 Xylene(s)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1330-20-7</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Xylenes, ethylbenzene.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 Hexane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110-54-3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n-hexane.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4. n-hexane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110-54-3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n-hexane.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5. Ethylbenzene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100-41-4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Ethylbenzene.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 Aliphatic 140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7. Aromatic 100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xylene, 1% cumene.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8. Aromatic 150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Naphthalene.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9. Aromatic naptha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xylene, 1% cumene.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64742-94-5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Naphthalene.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11. Exempt mineral spirits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12. Ligroines (VM &amp; P)</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13. Lactol spirits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64742-89-6</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Toluene.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14. Low aromatic white spirit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64742-82-</w:t>
            </w:r>
            <w:r w:rsidRPr="00455CCD">
              <w:rPr>
                <w:sz w:val="20"/>
                <w:szCs w:val="20"/>
              </w:rPr>
              <w:lastRenderedPageBreak/>
              <w:t>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15. Mineral spirits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64742-88-7</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Xylenes.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16. Hydrotreated naphtha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64742-48-9</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17. Hydrotreated light distillate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64742-47-8</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Toluene.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18. Stoddard solvent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8052-41-3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Xylenes.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19. Super high-flash naphtha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Xylenes.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20. Varol </w:t>
            </w:r>
            <w:r w:rsidRPr="00455CCD">
              <w:rPr>
                <w:sz w:val="20"/>
                <w:szCs w:val="20"/>
                <w:vertAlign w:val="superscript"/>
              </w:rPr>
              <w:t>®</w:t>
            </w:r>
            <w:r w:rsidRPr="00455CCD">
              <w:rPr>
                <w:sz w:val="20"/>
                <w:szCs w:val="20"/>
              </w:rPr>
              <w:t>solvent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8052-49-3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0.5% xylenes, 0.5% ethyl benzene.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21. VM &amp; P naphtha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64742-89-8</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 toluene, 3% xylene.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22. Petroleum distillate mixture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68477-31-6</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4% naphthalene, 4% biphenyl.</w:t>
            </w:r>
          </w:p>
        </w:tc>
      </w:tr>
    </w:tbl>
    <w:p w:rsidR="002039ED" w:rsidRPr="00455CCD" w:rsidRDefault="002039ED" w:rsidP="001E664D">
      <w:pPr>
        <w:pStyle w:val="Heading2"/>
        <w:rPr>
          <w:rFonts w:ascii="Times New Roman" w:hAnsi="Times New Roman" w:cs="Times New Roman"/>
          <w:color w:val="auto"/>
          <w:sz w:val="20"/>
          <w:szCs w:val="20"/>
        </w:rPr>
      </w:pPr>
      <w:bookmarkStart w:id="55" w:name="40:13.0.1.1.1.28.371.38.164"/>
      <w:bookmarkEnd w:id="55"/>
      <w:r w:rsidRPr="00455CCD">
        <w:rPr>
          <w:rFonts w:ascii="Times New Roman" w:hAnsi="Times New Roman" w:cs="Times New Roman"/>
          <w:color w:val="auto"/>
          <w:sz w:val="20"/>
          <w:szCs w:val="20"/>
        </w:rPr>
        <w:t>Table 6 to Subpart VVVV of Part 63—Default Organic HAP Contents of Petroleum Solvent Groups</w:t>
      </w:r>
    </w:p>
    <w:p w:rsidR="002039ED" w:rsidRPr="00455CCD" w:rsidRDefault="002039ED" w:rsidP="001E664D">
      <w:pPr>
        <w:pStyle w:val="NormalWeb"/>
        <w:rPr>
          <w:sz w:val="20"/>
          <w:szCs w:val="20"/>
        </w:rPr>
      </w:pPr>
      <w:r w:rsidRPr="00455CCD">
        <w:rPr>
          <w:sz w:val="20"/>
          <w:szCs w:val="20"/>
        </w:rPr>
        <w:t>As specified in §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421"/>
        <w:gridCol w:w="1720"/>
        <w:gridCol w:w="1969"/>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Solvent type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Average organic HAP content, percent by mass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Typical organic HAP, percent by mass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Aliphatic (Mineral Spirits 135, Mineral Spirits 150 EC, Naphtha, Mixed Hydrocarbon, Aliphatic Hydrocarbon, Aliphatic Naptha, Naphthol Spirits, 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Xylene, 1% Toluene, and 1% Ethylbenzene.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4% Xylene, 1% Toluene, and 1% Ethylbenzene.</w:t>
            </w:r>
          </w:p>
        </w:tc>
      </w:tr>
    </w:tbl>
    <w:p w:rsidR="002039ED" w:rsidRPr="00455CCD" w:rsidRDefault="002039ED" w:rsidP="001E664D">
      <w:pPr>
        <w:pStyle w:val="Heading2"/>
        <w:rPr>
          <w:rFonts w:ascii="Times New Roman" w:hAnsi="Times New Roman" w:cs="Times New Roman"/>
          <w:color w:val="auto"/>
          <w:sz w:val="20"/>
          <w:szCs w:val="20"/>
        </w:rPr>
      </w:pPr>
      <w:bookmarkStart w:id="56" w:name="40:13.0.1.1.1.28.371.38.165"/>
      <w:bookmarkEnd w:id="56"/>
      <w:r w:rsidRPr="00455CCD">
        <w:rPr>
          <w:rFonts w:ascii="Times New Roman" w:hAnsi="Times New Roman" w:cs="Times New Roman"/>
          <w:color w:val="auto"/>
          <w:sz w:val="20"/>
          <w:szCs w:val="20"/>
        </w:rPr>
        <w:t>Table 7 to Subpart VVVV of Part 63—Applicability and Timing of Notifications</w:t>
      </w:r>
    </w:p>
    <w:p w:rsidR="002039ED" w:rsidRPr="00455CCD" w:rsidRDefault="002039ED" w:rsidP="001E664D">
      <w:pPr>
        <w:pStyle w:val="NormalWeb"/>
        <w:rPr>
          <w:sz w:val="20"/>
          <w:szCs w:val="20"/>
        </w:rPr>
      </w:pPr>
      <w:r w:rsidRPr="00455CCD">
        <w:rPr>
          <w:sz w:val="20"/>
          <w:szCs w:val="20"/>
        </w:rPr>
        <w:t>As specified in §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430"/>
        <w:gridCol w:w="2941"/>
        <w:gridCol w:w="3739"/>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If your facility—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You must submit—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By this date—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An initial notification containing the information specified in § 63.9(b)(2)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 later than the dates specified in § 63.9(b)(2).</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The notifications specified in § 63.9(b) (3) to (5)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 later than the dates specified § 63.9(b)(4) and (5).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3. Qualifies for a compliance extension as specified in § 63.9(c)</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 request for a compliance extension as specified in § 63.9(c)</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 later than the dates specified in § 63.6(i).</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xml:space="preserve">4. Is complying with organic HAP content limits, application equipment </w:t>
            </w:r>
            <w:r w:rsidRPr="00455CCD">
              <w:rPr>
                <w:sz w:val="20"/>
                <w:szCs w:val="20"/>
              </w:rPr>
              <w:lastRenderedPageBreak/>
              <w:t>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A notification of compliance status as specified in § 63.9(h)</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xml:space="preserve">No later than 30 calendar days after the end of the first 12-month averaging period after your </w:t>
            </w:r>
            <w:r w:rsidRPr="00455CCD">
              <w:rPr>
                <w:sz w:val="20"/>
                <w:szCs w:val="20"/>
              </w:rPr>
              <w:lastRenderedPageBreak/>
              <w:t>facility's compliance date.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5.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 notification of intent to conduct a performance test as specified in § 63.9(e)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 later than the date specified in § 63.9(e).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b. A notification of the date for the continuous monitoring system performance evaluation as specified in § 63.9(g)</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With the notification of intent to conduct a performance test.</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 A notification of compliance status as specified in § 63.9(h)</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 later than 60 calendar days after the completion of the add-on control device performance test and continuous monitoring system performance evaluation.</w:t>
            </w:r>
          </w:p>
        </w:tc>
      </w:tr>
    </w:tbl>
    <w:p w:rsidR="002039ED" w:rsidRPr="00455CCD" w:rsidRDefault="002039ED" w:rsidP="001E664D">
      <w:pPr>
        <w:pStyle w:val="Heading2"/>
        <w:rPr>
          <w:rFonts w:ascii="Times New Roman" w:hAnsi="Times New Roman" w:cs="Times New Roman"/>
          <w:color w:val="auto"/>
          <w:sz w:val="20"/>
          <w:szCs w:val="20"/>
        </w:rPr>
      </w:pPr>
      <w:bookmarkStart w:id="57" w:name="40:13.0.1.1.1.28.371.38.166"/>
      <w:bookmarkEnd w:id="57"/>
      <w:r w:rsidRPr="00455CCD">
        <w:rPr>
          <w:rFonts w:ascii="Times New Roman" w:hAnsi="Times New Roman" w:cs="Times New Roman"/>
          <w:color w:val="auto"/>
          <w:sz w:val="20"/>
          <w:szCs w:val="20"/>
        </w:rPr>
        <w:t>Table 8 to Subpart VVVV of Part 63—Applicability of General Provisions (40 CFR Part 63, Subpart A) to Subpart VVVV</w:t>
      </w:r>
    </w:p>
    <w:p w:rsidR="002039ED" w:rsidRPr="00455CCD" w:rsidRDefault="002039ED" w:rsidP="001E664D">
      <w:pPr>
        <w:pStyle w:val="NormalWeb"/>
        <w:rPr>
          <w:sz w:val="20"/>
          <w:szCs w:val="20"/>
        </w:rPr>
      </w:pPr>
      <w:r w:rsidRPr="00455CCD">
        <w:rPr>
          <w:sz w:val="20"/>
          <w:szCs w:val="20"/>
        </w:rPr>
        <w:t>As specified in §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05"/>
        <w:gridCol w:w="3403"/>
        <w:gridCol w:w="1080"/>
        <w:gridCol w:w="4022"/>
      </w:tblGrid>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Requirement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Applies to subpart VVVV</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039ED" w:rsidRPr="00455CCD" w:rsidRDefault="002039ED" w:rsidP="001E664D">
            <w:pPr>
              <w:rPr>
                <w:b/>
                <w:bCs/>
                <w:sz w:val="20"/>
                <w:szCs w:val="20"/>
              </w:rPr>
            </w:pPr>
            <w:r w:rsidRPr="00455CCD">
              <w:rPr>
                <w:b/>
                <w:bCs/>
                <w:sz w:val="20"/>
                <w:szCs w:val="20"/>
              </w:rPr>
              <w:t>Explanation</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63.1(b)</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63.1(c)(1)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63.1(c)(2)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Area sources are not regulated by subpart VVVV.</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63.1(c)(3)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[Reserved]</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63.1(c)(4)-(5)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[Reserved]</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Additional definitions are found in § 63.5779.</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63.4(a)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63.4(b)-(c)</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63.5(b)</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63.5(c)</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[Reserved]</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 63.5(f)</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63.6(b)</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63.695 specifies compliance dates, including the compliance date for new area sources that become major sources after the effective date of the rule.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63.6(c)</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63.5695 specifies compliance dates, including the compliance date for existing area sources that become major sources after the effective date of the rule.</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[Reserved]</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63.6(e)(1)-(2)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Operating requirements for open molding operations with add-on controls are specified in § 63.5725.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63.6(e)(3)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Only sources with add-on controls must complete startup, shutdown, and malfunction plans.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63.6(f)</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63.6(g)</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Use of an Alternative Nonopacity Emission Standard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63.6(h)</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Subpart VVVV does not specify opacity or visible emission standards.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63.6(i)</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63.6(j)</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63.7(a)(1)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63.7(a)(2)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63.5716 specifies performance test dates.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63.7(a)(3)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63.7(b)-(h)</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63.8(a)(1)-(2)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All of § 63.8 applies only to sources with add-on controls. Additional monitoring requirements for sources with add-on controls are found in § 63.5725.</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63.8(a)(3)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[Reserved]</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63.8(a)(4)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Subpart VVVV does not refer directly or indirectly to § 63.11.</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63.8(b)(1)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to sources that use a CMS on the control device stack.</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 63.8(c)(1)-(4)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63.8(c)(5)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Subpart VVVV does not have opacity or visible emission standards.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63.8(f)(6)</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that use continuous emission monitoring systems (CEMS).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63.8(g)</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63.9(b)</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63.9(c)</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63.9(d)</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63.9(f)</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Subpart VVVV does not have opacity or visible emission standards.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63.9(g)(1)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63.9(g)(2)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Subpart VVVV does not require the use of COMS.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63.9(g)(3)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CEMS.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63.9(h)</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63.9(i)</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63.9(j)</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63.10(a)</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63.567 and 63.5770 specify additional recordkeeping requirements.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63.10(b)(2)(i)-(xi)</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63.10(b)(2)(xii)-(xiv)</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63.5686 specifies applicability determinations for non-major sources.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lastRenderedPageBreak/>
              <w:t>§ 63.10(c)</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63.5764 specifies additional reporting requirements.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63.5764 specifies additional requirements for reporting performance test results.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Subpart VVVV does not specify opacity or visible emission standards.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63.10(e)(1)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63.10(e)(2)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Applies only to sources with add-on controls.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Subpart VVVV does not specify opacity or visible emission standards.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63.10(f)</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63.11</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Facilities subject to subpart VVVV do not use flares as control devices.</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63.12</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63.5776 lists those sections of subpart A that are not delegated.</w:t>
            </w: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63.13</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63.14</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p>
        </w:tc>
      </w:tr>
      <w:tr w:rsidR="002039ED" w:rsidRPr="00455CCD" w:rsidTr="002039E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 63.15</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2039ED" w:rsidRPr="00455CCD" w:rsidRDefault="002039ED" w:rsidP="001E664D">
            <w:pPr>
              <w:rPr>
                <w:sz w:val="20"/>
                <w:szCs w:val="20"/>
              </w:rPr>
            </w:pPr>
            <w:r w:rsidRPr="00455CCD">
              <w:rPr>
                <w:sz w:val="20"/>
                <w:szCs w:val="20"/>
              </w:rPr>
              <w:t>Yes.</w:t>
            </w:r>
          </w:p>
        </w:tc>
        <w:tc>
          <w:tcPr>
            <w:tcW w:w="0" w:type="auto"/>
            <w:vAlign w:val="center"/>
            <w:hideMark/>
          </w:tcPr>
          <w:p w:rsidR="002039ED" w:rsidRPr="00455CCD" w:rsidRDefault="002039ED" w:rsidP="001E664D">
            <w:pPr>
              <w:rPr>
                <w:sz w:val="20"/>
                <w:szCs w:val="20"/>
              </w:rPr>
            </w:pPr>
          </w:p>
        </w:tc>
      </w:tr>
    </w:tbl>
    <w:p w:rsidR="002039ED" w:rsidRPr="00455CCD" w:rsidRDefault="002039ED" w:rsidP="001E664D">
      <w:pPr>
        <w:rPr>
          <w:sz w:val="20"/>
          <w:szCs w:val="20"/>
        </w:rPr>
      </w:pPr>
    </w:p>
    <w:p w:rsidR="002039ED" w:rsidRPr="00455CCD" w:rsidRDefault="002039ED" w:rsidP="001E664D"/>
    <w:p w:rsidR="002039ED" w:rsidRPr="00455CCD" w:rsidRDefault="002039ED" w:rsidP="001E664D"/>
    <w:p w:rsidR="002039ED" w:rsidRPr="00455CCD" w:rsidRDefault="002039ED" w:rsidP="001E664D"/>
    <w:p w:rsidR="002039ED" w:rsidRPr="00455CCD" w:rsidRDefault="002039ED" w:rsidP="001E664D"/>
    <w:p w:rsidR="002039ED" w:rsidRPr="00455CCD" w:rsidRDefault="002039ED" w:rsidP="001E664D"/>
    <w:p w:rsidR="002039ED" w:rsidRPr="00455CCD" w:rsidRDefault="002039ED" w:rsidP="001E664D"/>
    <w:p w:rsidR="002039ED" w:rsidRPr="00455CCD" w:rsidRDefault="002039ED" w:rsidP="001E664D"/>
    <w:p w:rsidR="002039ED" w:rsidRPr="00455CCD" w:rsidRDefault="002039ED" w:rsidP="001E664D"/>
    <w:p w:rsidR="002039ED" w:rsidRPr="00455CCD" w:rsidRDefault="002039ED" w:rsidP="001E664D"/>
    <w:p w:rsidR="00CA7B70" w:rsidRPr="00455CCD" w:rsidRDefault="00CA7B70" w:rsidP="001E664D">
      <w:pPr>
        <w:pStyle w:val="Heading5"/>
        <w:spacing w:before="120" w:beforeAutospacing="0" w:after="0" w:afterAutospacing="0"/>
      </w:pPr>
    </w:p>
    <w:p w:rsidR="00CA7B70" w:rsidRPr="00455CCD" w:rsidRDefault="00CA7B70" w:rsidP="001E664D">
      <w:pPr>
        <w:pStyle w:val="Heading5"/>
        <w:spacing w:before="120" w:beforeAutospacing="0" w:after="0" w:afterAutospacing="0"/>
      </w:pPr>
    </w:p>
    <w:sectPr w:rsidR="00CA7B70" w:rsidRPr="00455CCD" w:rsidSect="00126AD3">
      <w:headerReference w:type="default" r:id="rId74"/>
      <w:footerReference w:type="default" r:id="rId75"/>
      <w:pgSz w:w="12240" w:h="15840"/>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D8D" w:rsidRDefault="00E91D8D">
      <w:r>
        <w:separator/>
      </w:r>
    </w:p>
  </w:endnote>
  <w:endnote w:type="continuationSeparator" w:id="0">
    <w:p w:rsidR="00E91D8D" w:rsidRDefault="00E91D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79D" w:rsidRPr="00126AD3" w:rsidRDefault="005C379D" w:rsidP="00126AD3">
    <w:pPr>
      <w:pStyle w:val="Footer"/>
      <w:pBdr>
        <w:top w:val="single" w:sz="4" w:space="1" w:color="auto"/>
      </w:pBdr>
      <w:spacing w:before="240"/>
      <w:jc w:val="center"/>
      <w:rPr>
        <w:sz w:val="20"/>
        <w:szCs w:val="20"/>
      </w:rPr>
    </w:pPr>
    <w:r w:rsidRPr="00126AD3">
      <w:rPr>
        <w:sz w:val="20"/>
        <w:szCs w:val="20"/>
      </w:rPr>
      <w:t xml:space="preserve">Page </w:t>
    </w:r>
    <w:r w:rsidR="005D0A88" w:rsidRPr="00126AD3">
      <w:rPr>
        <w:rStyle w:val="PageNumber"/>
        <w:sz w:val="20"/>
        <w:szCs w:val="20"/>
      </w:rPr>
      <w:fldChar w:fldCharType="begin"/>
    </w:r>
    <w:r w:rsidRPr="00126AD3">
      <w:rPr>
        <w:rStyle w:val="PageNumber"/>
        <w:sz w:val="20"/>
        <w:szCs w:val="20"/>
      </w:rPr>
      <w:instrText xml:space="preserve"> PAGE </w:instrText>
    </w:r>
    <w:r w:rsidR="005D0A88" w:rsidRPr="00126AD3">
      <w:rPr>
        <w:rStyle w:val="PageNumber"/>
        <w:sz w:val="20"/>
        <w:szCs w:val="20"/>
      </w:rPr>
      <w:fldChar w:fldCharType="separate"/>
    </w:r>
    <w:r w:rsidR="00A23F82">
      <w:rPr>
        <w:rStyle w:val="PageNumber"/>
        <w:noProof/>
        <w:sz w:val="20"/>
        <w:szCs w:val="20"/>
      </w:rPr>
      <w:t>36</w:t>
    </w:r>
    <w:r w:rsidR="005D0A88" w:rsidRPr="00126AD3">
      <w:rPr>
        <w:rStyle w:val="PageNumber"/>
        <w:sz w:val="20"/>
        <w:szCs w:val="20"/>
      </w:rPr>
      <w:fldChar w:fldCharType="end"/>
    </w:r>
    <w:r w:rsidRPr="00126AD3">
      <w:rPr>
        <w:rStyle w:val="PageNumber"/>
        <w:sz w:val="20"/>
        <w:szCs w:val="20"/>
      </w:rPr>
      <w:t xml:space="preserve"> of </w:t>
    </w:r>
    <w:r w:rsidR="005D0A88" w:rsidRPr="00126AD3">
      <w:rPr>
        <w:rStyle w:val="PageNumber"/>
        <w:sz w:val="20"/>
        <w:szCs w:val="20"/>
      </w:rPr>
      <w:fldChar w:fldCharType="begin"/>
    </w:r>
    <w:r w:rsidRPr="00126AD3">
      <w:rPr>
        <w:rStyle w:val="PageNumber"/>
        <w:sz w:val="20"/>
        <w:szCs w:val="20"/>
      </w:rPr>
      <w:instrText xml:space="preserve"> NUMPAGES </w:instrText>
    </w:r>
    <w:r w:rsidR="005D0A88" w:rsidRPr="00126AD3">
      <w:rPr>
        <w:rStyle w:val="PageNumber"/>
        <w:sz w:val="20"/>
        <w:szCs w:val="20"/>
      </w:rPr>
      <w:fldChar w:fldCharType="separate"/>
    </w:r>
    <w:r w:rsidR="00A23F82">
      <w:rPr>
        <w:rStyle w:val="PageNumber"/>
        <w:noProof/>
        <w:sz w:val="20"/>
        <w:szCs w:val="20"/>
      </w:rPr>
      <w:t>36</w:t>
    </w:r>
    <w:r w:rsidR="005D0A88" w:rsidRPr="00126AD3">
      <w:rPr>
        <w:rStyle w:val="PageNumbe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D8D" w:rsidRDefault="00E91D8D">
      <w:r>
        <w:separator/>
      </w:r>
    </w:p>
  </w:footnote>
  <w:footnote w:type="continuationSeparator" w:id="0">
    <w:p w:rsidR="00E91D8D" w:rsidRDefault="00E91D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79D" w:rsidRPr="00126AD3" w:rsidRDefault="005C379D" w:rsidP="00126AD3">
    <w:pPr>
      <w:pStyle w:val="Header"/>
      <w:pBdr>
        <w:bottom w:val="single" w:sz="4" w:space="1" w:color="auto"/>
      </w:pBdr>
      <w:spacing w:after="240"/>
      <w:jc w:val="center"/>
      <w:rPr>
        <w:b/>
        <w:caps/>
        <w:sz w:val="20"/>
        <w:szCs w:val="20"/>
      </w:rPr>
    </w:pPr>
    <w:r w:rsidRPr="00126AD3">
      <w:rPr>
        <w:b/>
        <w:caps/>
        <w:sz w:val="20"/>
        <w:szCs w:val="20"/>
      </w:rPr>
      <w:t>N</w:t>
    </w:r>
    <w:r>
      <w:rPr>
        <w:b/>
        <w:caps/>
        <w:sz w:val="20"/>
        <w:szCs w:val="20"/>
      </w:rPr>
      <w:t>ESHAP</w:t>
    </w:r>
    <w:r w:rsidRPr="00126AD3">
      <w:rPr>
        <w:b/>
        <w:caps/>
        <w:sz w:val="20"/>
        <w:szCs w:val="20"/>
      </w:rPr>
      <w:t xml:space="preserve"> Subpart </w:t>
    </w:r>
    <w:r w:rsidR="002039ED">
      <w:rPr>
        <w:b/>
        <w:caps/>
        <w:sz w:val="20"/>
        <w:szCs w:val="20"/>
      </w:rPr>
      <w:t>VVVV</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6842AA"/>
    <w:multiLevelType w:val="hybridMultilevel"/>
    <w:tmpl w:val="2A6241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360"/>
  <w:characterSpacingControl w:val="doNotCompress"/>
  <w:footnotePr>
    <w:footnote w:id="-1"/>
    <w:footnote w:id="0"/>
  </w:footnotePr>
  <w:endnotePr>
    <w:endnote w:id="-1"/>
    <w:endnote w:id="0"/>
  </w:endnotePr>
  <w:compat/>
  <w:rsids>
    <w:rsidRoot w:val="002E08D0"/>
    <w:rsid w:val="00000364"/>
    <w:rsid w:val="00001D15"/>
    <w:rsid w:val="00002EE6"/>
    <w:rsid w:val="000076B6"/>
    <w:rsid w:val="000214F4"/>
    <w:rsid w:val="0003702E"/>
    <w:rsid w:val="00077F25"/>
    <w:rsid w:val="000942BD"/>
    <w:rsid w:val="000A09F6"/>
    <w:rsid w:val="000A2F7B"/>
    <w:rsid w:val="000B105C"/>
    <w:rsid w:val="000B332C"/>
    <w:rsid w:val="000C576F"/>
    <w:rsid w:val="000C798C"/>
    <w:rsid w:val="000D6258"/>
    <w:rsid w:val="000E56B8"/>
    <w:rsid w:val="000F671D"/>
    <w:rsid w:val="00111205"/>
    <w:rsid w:val="00124E57"/>
    <w:rsid w:val="0012606B"/>
    <w:rsid w:val="00126AD3"/>
    <w:rsid w:val="00160D65"/>
    <w:rsid w:val="00160FC8"/>
    <w:rsid w:val="001A6E44"/>
    <w:rsid w:val="001B540D"/>
    <w:rsid w:val="001C15F7"/>
    <w:rsid w:val="001D1FE4"/>
    <w:rsid w:val="001E664D"/>
    <w:rsid w:val="002039ED"/>
    <w:rsid w:val="0023682D"/>
    <w:rsid w:val="00266766"/>
    <w:rsid w:val="00266EDF"/>
    <w:rsid w:val="00286416"/>
    <w:rsid w:val="00286E8F"/>
    <w:rsid w:val="00293A54"/>
    <w:rsid w:val="002B05FE"/>
    <w:rsid w:val="002C1C95"/>
    <w:rsid w:val="002E08D0"/>
    <w:rsid w:val="002E6DA9"/>
    <w:rsid w:val="002F2730"/>
    <w:rsid w:val="00345964"/>
    <w:rsid w:val="00355445"/>
    <w:rsid w:val="0036782B"/>
    <w:rsid w:val="00372CF4"/>
    <w:rsid w:val="00374A11"/>
    <w:rsid w:val="00386CD8"/>
    <w:rsid w:val="00396E83"/>
    <w:rsid w:val="003A21F1"/>
    <w:rsid w:val="003A2500"/>
    <w:rsid w:val="003B6386"/>
    <w:rsid w:val="003F5269"/>
    <w:rsid w:val="004103B2"/>
    <w:rsid w:val="00412866"/>
    <w:rsid w:val="0043516E"/>
    <w:rsid w:val="00437F2D"/>
    <w:rsid w:val="00445F5D"/>
    <w:rsid w:val="00455CCD"/>
    <w:rsid w:val="00456F2A"/>
    <w:rsid w:val="0049710E"/>
    <w:rsid w:val="004A3C90"/>
    <w:rsid w:val="004B1085"/>
    <w:rsid w:val="004D2753"/>
    <w:rsid w:val="004F41D7"/>
    <w:rsid w:val="005037BC"/>
    <w:rsid w:val="0051202C"/>
    <w:rsid w:val="00522CA8"/>
    <w:rsid w:val="005321ED"/>
    <w:rsid w:val="00563085"/>
    <w:rsid w:val="005653F3"/>
    <w:rsid w:val="005653FB"/>
    <w:rsid w:val="00570387"/>
    <w:rsid w:val="00572276"/>
    <w:rsid w:val="005A1E44"/>
    <w:rsid w:val="005C379D"/>
    <w:rsid w:val="005D0A88"/>
    <w:rsid w:val="005D356F"/>
    <w:rsid w:val="006124A8"/>
    <w:rsid w:val="0065288C"/>
    <w:rsid w:val="00691A95"/>
    <w:rsid w:val="006A7BE8"/>
    <w:rsid w:val="006C593F"/>
    <w:rsid w:val="006D08A6"/>
    <w:rsid w:val="006D2F0B"/>
    <w:rsid w:val="006F227B"/>
    <w:rsid w:val="006F26D7"/>
    <w:rsid w:val="006F2A36"/>
    <w:rsid w:val="006F5DC1"/>
    <w:rsid w:val="006F5E33"/>
    <w:rsid w:val="007134C1"/>
    <w:rsid w:val="00744542"/>
    <w:rsid w:val="00770F09"/>
    <w:rsid w:val="00795843"/>
    <w:rsid w:val="007B0ABF"/>
    <w:rsid w:val="007B0CC8"/>
    <w:rsid w:val="007E6A66"/>
    <w:rsid w:val="007F19AC"/>
    <w:rsid w:val="00846085"/>
    <w:rsid w:val="008A30BF"/>
    <w:rsid w:val="008A523A"/>
    <w:rsid w:val="008E0245"/>
    <w:rsid w:val="009046EE"/>
    <w:rsid w:val="009141B1"/>
    <w:rsid w:val="00923353"/>
    <w:rsid w:val="009253E5"/>
    <w:rsid w:val="00943544"/>
    <w:rsid w:val="00992B0D"/>
    <w:rsid w:val="00994EE7"/>
    <w:rsid w:val="009C3980"/>
    <w:rsid w:val="009F5276"/>
    <w:rsid w:val="009F56E8"/>
    <w:rsid w:val="00A01CC6"/>
    <w:rsid w:val="00A04722"/>
    <w:rsid w:val="00A23F82"/>
    <w:rsid w:val="00A260B2"/>
    <w:rsid w:val="00A43C9C"/>
    <w:rsid w:val="00A613CA"/>
    <w:rsid w:val="00A63C3C"/>
    <w:rsid w:val="00A72D40"/>
    <w:rsid w:val="00A80426"/>
    <w:rsid w:val="00A96C9D"/>
    <w:rsid w:val="00AA6E07"/>
    <w:rsid w:val="00AB15B5"/>
    <w:rsid w:val="00AC1C9B"/>
    <w:rsid w:val="00AD2B29"/>
    <w:rsid w:val="00AF2A55"/>
    <w:rsid w:val="00B174CD"/>
    <w:rsid w:val="00B25653"/>
    <w:rsid w:val="00B25AA4"/>
    <w:rsid w:val="00B271E9"/>
    <w:rsid w:val="00B34540"/>
    <w:rsid w:val="00B5293E"/>
    <w:rsid w:val="00B777FB"/>
    <w:rsid w:val="00B91020"/>
    <w:rsid w:val="00C0095A"/>
    <w:rsid w:val="00C03B2A"/>
    <w:rsid w:val="00C45708"/>
    <w:rsid w:val="00C46286"/>
    <w:rsid w:val="00C61688"/>
    <w:rsid w:val="00C623D6"/>
    <w:rsid w:val="00C73F97"/>
    <w:rsid w:val="00CA7B70"/>
    <w:rsid w:val="00CB196C"/>
    <w:rsid w:val="00CC54BC"/>
    <w:rsid w:val="00CC759D"/>
    <w:rsid w:val="00CF241D"/>
    <w:rsid w:val="00CF458B"/>
    <w:rsid w:val="00D222D2"/>
    <w:rsid w:val="00D235DA"/>
    <w:rsid w:val="00D63FC9"/>
    <w:rsid w:val="00D739B8"/>
    <w:rsid w:val="00D770CE"/>
    <w:rsid w:val="00D817F9"/>
    <w:rsid w:val="00DB0402"/>
    <w:rsid w:val="00DC0BBE"/>
    <w:rsid w:val="00DF5B79"/>
    <w:rsid w:val="00E137A9"/>
    <w:rsid w:val="00E4784C"/>
    <w:rsid w:val="00E52332"/>
    <w:rsid w:val="00E91D8D"/>
    <w:rsid w:val="00E94424"/>
    <w:rsid w:val="00EB2165"/>
    <w:rsid w:val="00EE764A"/>
    <w:rsid w:val="00EF23C4"/>
    <w:rsid w:val="00EF3968"/>
    <w:rsid w:val="00EF4C32"/>
    <w:rsid w:val="00F13C1C"/>
    <w:rsid w:val="00F170E0"/>
    <w:rsid w:val="00F524B0"/>
    <w:rsid w:val="00F77339"/>
    <w:rsid w:val="00F90399"/>
    <w:rsid w:val="00FA2543"/>
    <w:rsid w:val="00FC4F34"/>
    <w:rsid w:val="00FD69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A55"/>
    <w:rPr>
      <w:sz w:val="24"/>
      <w:szCs w:val="24"/>
    </w:rPr>
  </w:style>
  <w:style w:type="paragraph" w:styleId="Heading1">
    <w:name w:val="heading 1"/>
    <w:basedOn w:val="Normal"/>
    <w:link w:val="Heading1Char"/>
    <w:uiPriority w:val="9"/>
    <w:qFormat/>
    <w:rsid w:val="002039ED"/>
    <w:pPr>
      <w:spacing w:before="200" w:after="100"/>
      <w:jc w:val="center"/>
      <w:outlineLvl w:val="0"/>
    </w:pPr>
    <w:rPr>
      <w:b/>
      <w:bCs/>
      <w:kern w:val="36"/>
      <w:sz w:val="20"/>
      <w:szCs w:val="20"/>
    </w:rPr>
  </w:style>
  <w:style w:type="paragraph" w:styleId="Heading2">
    <w:name w:val="heading 2"/>
    <w:basedOn w:val="Normal"/>
    <w:next w:val="Normal"/>
    <w:link w:val="Heading2Char"/>
    <w:uiPriority w:val="9"/>
    <w:unhideWhenUsed/>
    <w:qFormat/>
    <w:rsid w:val="00203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039ED"/>
    <w:pPr>
      <w:spacing w:before="200" w:after="100"/>
      <w:jc w:val="center"/>
      <w:outlineLvl w:val="2"/>
    </w:pPr>
    <w:rPr>
      <w:b/>
      <w:bCs/>
      <w:sz w:val="20"/>
      <w:szCs w:val="20"/>
    </w:rPr>
  </w:style>
  <w:style w:type="paragraph" w:styleId="Heading4">
    <w:name w:val="heading 4"/>
    <w:basedOn w:val="Normal"/>
    <w:link w:val="Heading4Char"/>
    <w:uiPriority w:val="9"/>
    <w:qFormat/>
    <w:rsid w:val="002039ED"/>
    <w:pPr>
      <w:spacing w:before="200" w:after="100"/>
      <w:jc w:val="center"/>
      <w:outlineLvl w:val="3"/>
    </w:pPr>
    <w:rPr>
      <w:b/>
      <w:bCs/>
      <w:sz w:val="20"/>
      <w:szCs w:val="20"/>
    </w:rPr>
  </w:style>
  <w:style w:type="paragraph" w:styleId="Heading5">
    <w:name w:val="heading 5"/>
    <w:basedOn w:val="Normal"/>
    <w:link w:val="Heading5Char"/>
    <w:uiPriority w:val="9"/>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A04722"/>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uiPriority w:val="99"/>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E52332"/>
    <w:pPr>
      <w:spacing w:before="100" w:beforeAutospacing="1" w:after="100" w:afterAutospacing="1"/>
      <w:jc w:val="center"/>
    </w:pPr>
    <w:rPr>
      <w:b/>
      <w:bCs/>
    </w:rPr>
  </w:style>
  <w:style w:type="character" w:styleId="Emphasis">
    <w:name w:val="Emphasis"/>
    <w:basedOn w:val="DefaultParagraphFont"/>
    <w:uiPriority w:val="20"/>
    <w:qFormat/>
    <w:rsid w:val="00D770CE"/>
    <w:rPr>
      <w:i/>
      <w:iCs/>
    </w:rPr>
  </w:style>
  <w:style w:type="paragraph" w:styleId="BalloonText">
    <w:name w:val="Balloon Text"/>
    <w:basedOn w:val="Normal"/>
    <w:semiHidden/>
    <w:rsid w:val="0043516E"/>
    <w:rPr>
      <w:rFonts w:ascii="Tahoma" w:hAnsi="Tahoma" w:cs="Tahoma"/>
      <w:sz w:val="16"/>
      <w:szCs w:val="16"/>
    </w:rPr>
  </w:style>
  <w:style w:type="paragraph" w:customStyle="1" w:styleId="tabledescription">
    <w:name w:val="table_description"/>
    <w:basedOn w:val="Normal"/>
    <w:rsid w:val="007B0CC8"/>
    <w:pPr>
      <w:spacing w:before="100" w:beforeAutospacing="1" w:after="100" w:afterAutospacing="1"/>
      <w:jc w:val="center"/>
    </w:pPr>
  </w:style>
  <w:style w:type="paragraph" w:customStyle="1" w:styleId="subtitle">
    <w:name w:val="subtitle"/>
    <w:basedOn w:val="Normal"/>
    <w:rsid w:val="00A04722"/>
    <w:pPr>
      <w:spacing w:before="100" w:beforeAutospacing="1" w:after="100" w:afterAutospacing="1"/>
    </w:pPr>
    <w:rPr>
      <w:rFonts w:ascii="Arial" w:hAnsi="Arial" w:cs="Arial"/>
      <w:b/>
      <w:bCs/>
      <w:sz w:val="21"/>
      <w:szCs w:val="21"/>
    </w:rPr>
  </w:style>
  <w:style w:type="paragraph" w:customStyle="1" w:styleId="chapter">
    <w:name w:val="chapter"/>
    <w:basedOn w:val="Normal"/>
    <w:rsid w:val="00A04722"/>
    <w:pPr>
      <w:spacing w:before="100" w:beforeAutospacing="1" w:after="100" w:afterAutospacing="1"/>
    </w:pPr>
    <w:rPr>
      <w:rFonts w:ascii="Arial" w:hAnsi="Arial" w:cs="Arial"/>
      <w:b/>
      <w:bCs/>
    </w:rPr>
  </w:style>
  <w:style w:type="paragraph" w:customStyle="1" w:styleId="nopart">
    <w:name w:val="nopart"/>
    <w:basedOn w:val="Normal"/>
    <w:rsid w:val="00A04722"/>
    <w:pPr>
      <w:shd w:val="clear" w:color="auto" w:fill="FFFFFF"/>
      <w:spacing w:before="100" w:beforeAutospacing="1" w:after="100" w:afterAutospacing="1"/>
    </w:pPr>
    <w:rPr>
      <w:color w:val="008000"/>
    </w:rPr>
  </w:style>
  <w:style w:type="paragraph" w:customStyle="1" w:styleId="hilite">
    <w:name w:val="hilite"/>
    <w:basedOn w:val="Normal"/>
    <w:rsid w:val="00A04722"/>
    <w:pPr>
      <w:spacing w:before="100" w:beforeAutospacing="1" w:after="100" w:afterAutospacing="1"/>
    </w:pPr>
    <w:rPr>
      <w:b/>
      <w:bCs/>
      <w:color w:val="CC0000"/>
    </w:rPr>
  </w:style>
  <w:style w:type="paragraph" w:customStyle="1" w:styleId="white">
    <w:name w:val="white"/>
    <w:basedOn w:val="Normal"/>
    <w:rsid w:val="00A04722"/>
    <w:rPr>
      <w:color w:val="FFFFFF"/>
    </w:rPr>
  </w:style>
  <w:style w:type="character" w:styleId="Hyperlink">
    <w:name w:val="Hyperlink"/>
    <w:basedOn w:val="DefaultParagraphFont"/>
    <w:uiPriority w:val="99"/>
    <w:unhideWhenUsed/>
    <w:rsid w:val="00CA7B70"/>
    <w:rPr>
      <w:color w:val="0000FF"/>
      <w:u w:val="single"/>
    </w:rPr>
  </w:style>
  <w:style w:type="character" w:styleId="FollowedHyperlink">
    <w:name w:val="FollowedHyperlink"/>
    <w:basedOn w:val="DefaultParagraphFont"/>
    <w:uiPriority w:val="99"/>
    <w:unhideWhenUsed/>
    <w:rsid w:val="00CA7B70"/>
    <w:rPr>
      <w:color w:val="800080"/>
      <w:u w:val="single"/>
    </w:rPr>
  </w:style>
  <w:style w:type="paragraph" w:customStyle="1" w:styleId="td">
    <w:name w:val="td"/>
    <w:basedOn w:val="Normal"/>
    <w:rsid w:val="00CA7B70"/>
    <w:pPr>
      <w:spacing w:before="100" w:beforeAutospacing="1" w:after="100" w:afterAutospacing="1"/>
    </w:pPr>
    <w:rPr>
      <w:rFonts w:ascii="Arial" w:hAnsi="Arial" w:cs="Arial"/>
      <w:sz w:val="18"/>
      <w:szCs w:val="18"/>
    </w:rPr>
  </w:style>
  <w:style w:type="paragraph" w:customStyle="1" w:styleId="tr">
    <w:name w:val="tr"/>
    <w:basedOn w:val="Normal"/>
    <w:rsid w:val="00CA7B70"/>
    <w:pPr>
      <w:spacing w:before="100" w:beforeAutospacing="1" w:after="100" w:afterAutospacing="1"/>
    </w:pPr>
    <w:rPr>
      <w:rFonts w:ascii="Arial" w:hAnsi="Arial" w:cs="Arial"/>
      <w:sz w:val="18"/>
      <w:szCs w:val="18"/>
    </w:rPr>
  </w:style>
  <w:style w:type="paragraph" w:customStyle="1" w:styleId="h1">
    <w:name w:val="h1"/>
    <w:basedOn w:val="Normal"/>
    <w:rsid w:val="00CA7B70"/>
    <w:pPr>
      <w:spacing w:before="100" w:beforeAutospacing="1" w:after="100" w:afterAutospacing="1" w:line="360" w:lineRule="atLeast"/>
    </w:pPr>
    <w:rPr>
      <w:rFonts w:ascii="Arial" w:hAnsi="Arial" w:cs="Arial"/>
      <w:b/>
      <w:bCs/>
    </w:rPr>
  </w:style>
  <w:style w:type="paragraph" w:customStyle="1" w:styleId="h2">
    <w:name w:val="h2"/>
    <w:basedOn w:val="Normal"/>
    <w:rsid w:val="00CA7B70"/>
    <w:pPr>
      <w:spacing w:before="100" w:beforeAutospacing="1"/>
    </w:pPr>
    <w:rPr>
      <w:rFonts w:ascii="Arial" w:hAnsi="Arial" w:cs="Arial"/>
      <w:b/>
      <w:bCs/>
      <w:color w:val="000000"/>
      <w:sz w:val="21"/>
      <w:szCs w:val="21"/>
    </w:rPr>
  </w:style>
  <w:style w:type="paragraph" w:customStyle="1" w:styleId="h3">
    <w:name w:val="h3"/>
    <w:basedOn w:val="Normal"/>
    <w:rsid w:val="00CA7B70"/>
    <w:pPr>
      <w:spacing w:before="100" w:beforeAutospacing="1"/>
    </w:pPr>
    <w:rPr>
      <w:rFonts w:ascii="Arial" w:hAnsi="Arial" w:cs="Arial"/>
      <w:b/>
      <w:bCs/>
      <w:sz w:val="18"/>
      <w:szCs w:val="18"/>
    </w:rPr>
  </w:style>
  <w:style w:type="paragraph" w:customStyle="1" w:styleId="Caption1">
    <w:name w:val="Caption1"/>
    <w:basedOn w:val="Normal"/>
    <w:rsid w:val="00CA7B70"/>
    <w:pPr>
      <w:spacing w:before="100" w:beforeAutospacing="1"/>
    </w:pPr>
    <w:rPr>
      <w:rFonts w:ascii="Arial" w:hAnsi="Arial" w:cs="Arial"/>
      <w:b/>
      <w:bCs/>
      <w:sz w:val="18"/>
      <w:szCs w:val="18"/>
    </w:rPr>
  </w:style>
  <w:style w:type="paragraph" w:customStyle="1" w:styleId="Footer1">
    <w:name w:val="Footer1"/>
    <w:basedOn w:val="Normal"/>
    <w:rsid w:val="00CA7B70"/>
    <w:pPr>
      <w:spacing w:before="100" w:beforeAutospacing="1" w:after="100" w:afterAutospacing="1"/>
      <w:jc w:val="center"/>
    </w:pPr>
    <w:rPr>
      <w:rFonts w:ascii="Arial" w:hAnsi="Arial" w:cs="Arial"/>
      <w:sz w:val="15"/>
      <w:szCs w:val="15"/>
    </w:rPr>
  </w:style>
  <w:style w:type="paragraph" w:customStyle="1" w:styleId="top">
    <w:name w:val="top"/>
    <w:basedOn w:val="Normal"/>
    <w:rsid w:val="00CA7B70"/>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CA7B70"/>
    <w:pPr>
      <w:spacing w:before="100" w:beforeAutospacing="1" w:after="100" w:afterAutospacing="1"/>
    </w:pPr>
  </w:style>
  <w:style w:type="paragraph" w:customStyle="1" w:styleId="fontsmall">
    <w:name w:val="fontsmall"/>
    <w:basedOn w:val="Normal"/>
    <w:rsid w:val="00CA7B70"/>
    <w:pPr>
      <w:spacing w:before="100" w:beforeAutospacing="1" w:after="100" w:afterAutospacing="1"/>
    </w:pPr>
    <w:rPr>
      <w:rFonts w:ascii="Arial" w:hAnsi="Arial" w:cs="Arial"/>
      <w:sz w:val="17"/>
      <w:szCs w:val="17"/>
    </w:rPr>
  </w:style>
  <w:style w:type="paragraph" w:customStyle="1" w:styleId="navigation">
    <w:name w:val="navigation"/>
    <w:basedOn w:val="Normal"/>
    <w:rsid w:val="00CA7B70"/>
    <w:pPr>
      <w:spacing w:before="100" w:beforeAutospacing="1" w:after="100" w:afterAutospacing="1"/>
    </w:pPr>
    <w:rPr>
      <w:rFonts w:ascii="Arial" w:hAnsi="Arial" w:cs="Arial"/>
      <w:sz w:val="15"/>
      <w:szCs w:val="15"/>
    </w:rPr>
  </w:style>
  <w:style w:type="paragraph" w:customStyle="1" w:styleId="invisiblelink">
    <w:name w:val="invisiblelink"/>
    <w:basedOn w:val="Normal"/>
    <w:rsid w:val="00CA7B70"/>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CA7B70"/>
    <w:pPr>
      <w:spacing w:before="100" w:beforeAutospacing="1"/>
    </w:pPr>
    <w:rPr>
      <w:rFonts w:ascii="Arial" w:hAnsi="Arial" w:cs="Arial"/>
      <w:b/>
      <w:bCs/>
      <w:sz w:val="21"/>
      <w:szCs w:val="21"/>
    </w:rPr>
  </w:style>
  <w:style w:type="paragraph" w:customStyle="1" w:styleId="search">
    <w:name w:val="search"/>
    <w:basedOn w:val="Normal"/>
    <w:rsid w:val="00CA7B70"/>
    <w:pPr>
      <w:spacing w:before="100" w:beforeAutospacing="1" w:after="100" w:afterAutospacing="1"/>
    </w:pPr>
    <w:rPr>
      <w:rFonts w:ascii="Arial" w:hAnsi="Arial" w:cs="Arial"/>
      <w:sz w:val="15"/>
      <w:szCs w:val="15"/>
    </w:rPr>
  </w:style>
  <w:style w:type="paragraph" w:customStyle="1" w:styleId="side">
    <w:name w:val="side"/>
    <w:basedOn w:val="Normal"/>
    <w:rsid w:val="00CA7B70"/>
    <w:pPr>
      <w:spacing w:before="100" w:beforeAutospacing="1" w:after="100" w:afterAutospacing="1"/>
    </w:pPr>
    <w:rPr>
      <w:rFonts w:ascii="Arial" w:hAnsi="Arial" w:cs="Arial"/>
      <w:sz w:val="18"/>
      <w:szCs w:val="18"/>
    </w:rPr>
  </w:style>
  <w:style w:type="paragraph" w:customStyle="1" w:styleId="subparagraph">
    <w:name w:val="subparagraph"/>
    <w:basedOn w:val="Normal"/>
    <w:rsid w:val="00CA7B70"/>
    <w:pPr>
      <w:spacing w:before="100" w:beforeAutospacing="1" w:after="100" w:afterAutospacing="1"/>
    </w:pPr>
    <w:rPr>
      <w:rFonts w:ascii="Arial" w:hAnsi="Arial" w:cs="Arial"/>
      <w:sz w:val="18"/>
      <w:szCs w:val="18"/>
    </w:rPr>
  </w:style>
  <w:style w:type="paragraph" w:customStyle="1" w:styleId="head">
    <w:name w:val="head"/>
    <w:basedOn w:val="Normal"/>
    <w:rsid w:val="00CA7B70"/>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CA7B70"/>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CA7B70"/>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CA7B70"/>
    <w:pPr>
      <w:spacing w:before="100" w:beforeAutospacing="1" w:after="100" w:afterAutospacing="1"/>
    </w:pPr>
    <w:rPr>
      <w:rFonts w:ascii="Arial" w:hAnsi="Arial" w:cs="Arial"/>
      <w:sz w:val="18"/>
      <w:szCs w:val="18"/>
    </w:rPr>
  </w:style>
  <w:style w:type="paragraph" w:customStyle="1" w:styleId="updatebold">
    <w:name w:val="updatebold"/>
    <w:basedOn w:val="Normal"/>
    <w:rsid w:val="00CA7B70"/>
    <w:pPr>
      <w:spacing w:before="100" w:beforeAutospacing="1" w:after="100" w:afterAutospacing="1"/>
    </w:pPr>
    <w:rPr>
      <w:rFonts w:ascii="Arial" w:hAnsi="Arial" w:cs="Arial"/>
      <w:b/>
      <w:bCs/>
      <w:sz w:val="18"/>
      <w:szCs w:val="18"/>
    </w:rPr>
  </w:style>
  <w:style w:type="paragraph" w:customStyle="1" w:styleId="body">
    <w:name w:val="body"/>
    <w:basedOn w:val="Normal"/>
    <w:rsid w:val="00CA7B70"/>
    <w:pPr>
      <w:shd w:val="clear" w:color="auto" w:fill="FFFFFF"/>
      <w:spacing w:before="100" w:beforeAutospacing="1" w:after="100" w:afterAutospacing="1"/>
    </w:pPr>
    <w:rPr>
      <w:rFonts w:ascii="Arial" w:hAnsi="Arial" w:cs="Arial"/>
      <w:color w:val="000000"/>
    </w:rPr>
  </w:style>
  <w:style w:type="paragraph" w:customStyle="1" w:styleId="a">
    <w:name w:val="a"/>
    <w:basedOn w:val="Normal"/>
    <w:rsid w:val="00CA7B70"/>
    <w:pPr>
      <w:spacing w:before="100" w:beforeAutospacing="1" w:after="100" w:afterAutospacing="1"/>
    </w:pPr>
    <w:rPr>
      <w:u w:val="single"/>
    </w:rPr>
  </w:style>
  <w:style w:type="paragraph" w:customStyle="1" w:styleId="p">
    <w:name w:val="p"/>
    <w:basedOn w:val="Normal"/>
    <w:rsid w:val="00CA7B70"/>
    <w:pPr>
      <w:spacing w:before="100" w:beforeAutospacing="1" w:after="100" w:afterAutospacing="1"/>
      <w:jc w:val="center"/>
    </w:pPr>
    <w:rPr>
      <w:rFonts w:ascii="Arial" w:hAnsi="Arial" w:cs="Arial"/>
    </w:rPr>
  </w:style>
  <w:style w:type="paragraph" w:customStyle="1" w:styleId="title">
    <w:name w:val="title"/>
    <w:basedOn w:val="Normal"/>
    <w:rsid w:val="00CA7B70"/>
    <w:pPr>
      <w:spacing w:before="100" w:beforeAutospacing="1" w:after="100" w:afterAutospacing="1"/>
    </w:pPr>
    <w:rPr>
      <w:rFonts w:ascii="Arial" w:hAnsi="Arial" w:cs="Arial"/>
      <w:b/>
      <w:bCs/>
      <w:sz w:val="30"/>
      <w:szCs w:val="30"/>
    </w:rPr>
  </w:style>
  <w:style w:type="paragraph" w:customStyle="1" w:styleId="mainheader">
    <w:name w:val="mainheader"/>
    <w:basedOn w:val="Normal"/>
    <w:rsid w:val="00CA7B70"/>
    <w:pPr>
      <w:spacing w:before="100" w:beforeAutospacing="1" w:after="100" w:afterAutospacing="1"/>
    </w:pPr>
    <w:rPr>
      <w:b/>
      <w:bCs/>
      <w:sz w:val="31"/>
      <w:szCs w:val="31"/>
    </w:rPr>
  </w:style>
  <w:style w:type="paragraph" w:customStyle="1" w:styleId="subchapter">
    <w:name w:val="subchapter"/>
    <w:basedOn w:val="Normal"/>
    <w:rsid w:val="00CA7B70"/>
    <w:pPr>
      <w:spacing w:before="100" w:beforeAutospacing="1" w:after="100" w:afterAutospacing="1"/>
    </w:pPr>
    <w:rPr>
      <w:rFonts w:ascii="Arial" w:hAnsi="Arial" w:cs="Arial"/>
      <w:b/>
      <w:bCs/>
      <w:sz w:val="21"/>
      <w:szCs w:val="21"/>
    </w:rPr>
  </w:style>
  <w:style w:type="paragraph" w:customStyle="1" w:styleId="part">
    <w:name w:val="part"/>
    <w:basedOn w:val="Normal"/>
    <w:rsid w:val="00CA7B70"/>
    <w:pPr>
      <w:spacing w:before="100" w:beforeAutospacing="1" w:after="100" w:afterAutospacing="1"/>
    </w:pPr>
    <w:rPr>
      <w:b/>
      <w:bCs/>
    </w:rPr>
  </w:style>
  <w:style w:type="paragraph" w:customStyle="1" w:styleId="subpart">
    <w:name w:val="subpart"/>
    <w:basedOn w:val="Normal"/>
    <w:rsid w:val="00CA7B70"/>
    <w:pPr>
      <w:shd w:val="clear" w:color="auto" w:fill="FFFFFF"/>
      <w:spacing w:before="100" w:beforeAutospacing="1" w:after="100" w:afterAutospacing="1"/>
    </w:pPr>
    <w:rPr>
      <w:color w:val="0000FF"/>
      <w:sz w:val="22"/>
      <w:szCs w:val="22"/>
    </w:rPr>
  </w:style>
  <w:style w:type="paragraph" w:customStyle="1" w:styleId="reserved">
    <w:name w:val="reserved"/>
    <w:basedOn w:val="Normal"/>
    <w:rsid w:val="00CA7B70"/>
    <w:pPr>
      <w:shd w:val="clear" w:color="auto" w:fill="FFFFFF"/>
      <w:spacing w:before="100" w:beforeAutospacing="1" w:after="100" w:afterAutospacing="1"/>
    </w:pPr>
    <w:rPr>
      <w:color w:val="FF0000"/>
    </w:rPr>
  </w:style>
  <w:style w:type="paragraph" w:customStyle="1" w:styleId="menu">
    <w:name w:val="menu"/>
    <w:basedOn w:val="Normal"/>
    <w:rsid w:val="00CA7B70"/>
    <w:pPr>
      <w:spacing w:before="100" w:beforeAutospacing="1" w:after="100" w:afterAutospacing="1"/>
    </w:pPr>
    <w:rPr>
      <w:rFonts w:ascii="Arial" w:hAnsi="Arial" w:cs="Arial"/>
      <w:sz w:val="18"/>
      <w:szCs w:val="18"/>
    </w:rPr>
  </w:style>
  <w:style w:type="paragraph" w:customStyle="1" w:styleId="gpotblhang">
    <w:name w:val="gpotbl_hang"/>
    <w:basedOn w:val="Normal"/>
    <w:rsid w:val="00CA7B70"/>
    <w:pPr>
      <w:spacing w:before="100" w:beforeAutospacing="1" w:after="100" w:afterAutospacing="1"/>
      <w:ind w:hanging="480"/>
    </w:pPr>
  </w:style>
  <w:style w:type="paragraph" w:customStyle="1" w:styleId="gpotbltable">
    <w:name w:val="gpotbl_table"/>
    <w:basedOn w:val="Normal"/>
    <w:rsid w:val="00CA7B70"/>
    <w:pPr>
      <w:spacing w:before="100" w:beforeAutospacing="1" w:after="100" w:afterAutospacing="1"/>
    </w:pPr>
  </w:style>
  <w:style w:type="paragraph" w:customStyle="1" w:styleId="gpotbldiv">
    <w:name w:val="gpotbl_div"/>
    <w:basedOn w:val="Normal"/>
    <w:rsid w:val="00CA7B70"/>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gpotbltitle">
    <w:name w:val="gpotbl_title"/>
    <w:basedOn w:val="Normal"/>
    <w:rsid w:val="00CA7B70"/>
    <w:pPr>
      <w:spacing w:before="100" w:beforeAutospacing="1" w:after="100" w:afterAutospacing="1"/>
      <w:jc w:val="center"/>
    </w:pPr>
    <w:rPr>
      <w:b/>
      <w:bCs/>
    </w:rPr>
  </w:style>
  <w:style w:type="paragraph" w:customStyle="1" w:styleId="gpotbldescription">
    <w:name w:val="gpotbl_description"/>
    <w:basedOn w:val="Normal"/>
    <w:rsid w:val="00CA7B70"/>
    <w:pPr>
      <w:spacing w:before="100" w:beforeAutospacing="1" w:after="100" w:afterAutospacing="1"/>
      <w:jc w:val="center"/>
    </w:pPr>
  </w:style>
  <w:style w:type="paragraph" w:customStyle="1" w:styleId="gpotblcell">
    <w:name w:val="gpotbl_cell"/>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style>
  <w:style w:type="paragraph" w:customStyle="1" w:styleId="gpotblcolhed">
    <w:name w:val="gpotbl_colhed"/>
    <w:basedOn w:val="Normal"/>
    <w:rsid w:val="00CA7B70"/>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style>
  <w:style w:type="character" w:styleId="Strong">
    <w:name w:val="Strong"/>
    <w:basedOn w:val="DefaultParagraphFont"/>
    <w:uiPriority w:val="22"/>
    <w:qFormat/>
    <w:rsid w:val="00CA7B70"/>
    <w:rPr>
      <w:b/>
      <w:bCs/>
    </w:rPr>
  </w:style>
  <w:style w:type="character" w:customStyle="1" w:styleId="mainheader1">
    <w:name w:val="mainheader1"/>
    <w:basedOn w:val="DefaultParagraphFont"/>
    <w:rsid w:val="00CA7B70"/>
    <w:rPr>
      <w:b/>
      <w:bCs/>
      <w:sz w:val="31"/>
      <w:szCs w:val="31"/>
    </w:rPr>
  </w:style>
  <w:style w:type="character" w:customStyle="1" w:styleId="div5head">
    <w:name w:val="div5head"/>
    <w:basedOn w:val="DefaultParagraphFont"/>
    <w:rsid w:val="00CA7B70"/>
  </w:style>
  <w:style w:type="paragraph" w:customStyle="1" w:styleId="gpotblnote">
    <w:name w:val="gpotbl_note"/>
    <w:basedOn w:val="Normal"/>
    <w:rsid w:val="00CA7B70"/>
    <w:pPr>
      <w:spacing w:before="100" w:beforeAutospacing="1" w:after="100" w:afterAutospacing="1"/>
    </w:pPr>
  </w:style>
  <w:style w:type="paragraph" w:styleId="ListParagraph">
    <w:name w:val="List Paragraph"/>
    <w:basedOn w:val="Normal"/>
    <w:uiPriority w:val="34"/>
    <w:qFormat/>
    <w:rsid w:val="00F524B0"/>
    <w:pPr>
      <w:ind w:left="720"/>
      <w:contextualSpacing/>
    </w:pPr>
  </w:style>
  <w:style w:type="character" w:customStyle="1" w:styleId="Heading2Char">
    <w:name w:val="Heading 2 Char"/>
    <w:basedOn w:val="DefaultParagraphFont"/>
    <w:link w:val="Heading2"/>
    <w:uiPriority w:val="9"/>
    <w:rsid w:val="002039E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039ED"/>
    <w:rPr>
      <w:b/>
      <w:bCs/>
      <w:kern w:val="36"/>
    </w:rPr>
  </w:style>
  <w:style w:type="character" w:customStyle="1" w:styleId="Heading3Char">
    <w:name w:val="Heading 3 Char"/>
    <w:basedOn w:val="DefaultParagraphFont"/>
    <w:link w:val="Heading3"/>
    <w:uiPriority w:val="9"/>
    <w:rsid w:val="002039ED"/>
    <w:rPr>
      <w:b/>
      <w:bCs/>
    </w:rPr>
  </w:style>
  <w:style w:type="character" w:customStyle="1" w:styleId="Heading4Char">
    <w:name w:val="Heading 4 Char"/>
    <w:basedOn w:val="DefaultParagraphFont"/>
    <w:link w:val="Heading4"/>
    <w:uiPriority w:val="9"/>
    <w:rsid w:val="002039ED"/>
    <w:rPr>
      <w:b/>
      <w:bCs/>
    </w:rPr>
  </w:style>
  <w:style w:type="paragraph" w:customStyle="1" w:styleId="fullcenter">
    <w:name w:val="fullcenter"/>
    <w:basedOn w:val="Normal"/>
    <w:rsid w:val="002039ED"/>
    <w:pPr>
      <w:spacing w:before="100" w:beforeAutospacing="1" w:after="100" w:afterAutospacing="1"/>
      <w:jc w:val="center"/>
    </w:pPr>
  </w:style>
  <w:style w:type="paragraph" w:customStyle="1" w:styleId="linktoamn">
    <w:name w:val="linktoamn"/>
    <w:basedOn w:val="Normal"/>
    <w:rsid w:val="002039ED"/>
    <w:pPr>
      <w:spacing w:before="100" w:beforeAutospacing="1" w:after="100" w:afterAutospacing="1"/>
      <w:jc w:val="center"/>
    </w:pPr>
  </w:style>
  <w:style w:type="paragraph" w:customStyle="1" w:styleId="bfrpage">
    <w:name w:val="bfrpage"/>
    <w:basedOn w:val="Normal"/>
    <w:rsid w:val="002039ED"/>
    <w:pPr>
      <w:spacing w:before="100" w:beforeAutospacing="1" w:after="100" w:afterAutospacing="1"/>
      <w:jc w:val="center"/>
    </w:pPr>
  </w:style>
  <w:style w:type="paragraph" w:customStyle="1" w:styleId="breghd">
    <w:name w:val="breghd"/>
    <w:basedOn w:val="Normal"/>
    <w:rsid w:val="002039ED"/>
    <w:pPr>
      <w:spacing w:before="100" w:beforeAutospacing="1" w:after="100" w:afterAutospacing="1"/>
    </w:pPr>
  </w:style>
  <w:style w:type="paragraph" w:customStyle="1" w:styleId="effdates">
    <w:name w:val="effdates"/>
    <w:basedOn w:val="Normal"/>
    <w:rsid w:val="002039ED"/>
    <w:pPr>
      <w:spacing w:before="100" w:beforeAutospacing="1" w:after="100" w:afterAutospacing="1"/>
      <w:ind w:firstLine="480"/>
    </w:pPr>
    <w:rPr>
      <w:smallCaps/>
    </w:rPr>
  </w:style>
  <w:style w:type="paragraph" w:customStyle="1" w:styleId="updated">
    <w:name w:val="updated"/>
    <w:basedOn w:val="Normal"/>
    <w:rsid w:val="002039ED"/>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2039ED"/>
    <w:pPr>
      <w:spacing w:before="100" w:beforeAutospacing="1" w:after="100" w:afterAutospacing="1"/>
    </w:pPr>
    <w:rPr>
      <w:sz w:val="17"/>
      <w:szCs w:val="17"/>
    </w:rPr>
  </w:style>
  <w:style w:type="paragraph" w:customStyle="1" w:styleId="top-menu">
    <w:name w:val="top-menu"/>
    <w:basedOn w:val="Normal"/>
    <w:rsid w:val="002039ED"/>
    <w:pPr>
      <w:spacing w:before="100" w:beforeAutospacing="1" w:after="100" w:afterAutospacing="1"/>
      <w:ind w:firstLine="480"/>
    </w:pPr>
  </w:style>
  <w:style w:type="paragraph" w:customStyle="1" w:styleId="top-menu-pipe">
    <w:name w:val="top-menu-pipe"/>
    <w:basedOn w:val="Normal"/>
    <w:rsid w:val="002039ED"/>
    <w:pPr>
      <w:ind w:firstLine="480"/>
    </w:pPr>
  </w:style>
  <w:style w:type="paragraph" w:customStyle="1" w:styleId="clear">
    <w:name w:val="clear"/>
    <w:basedOn w:val="Normal"/>
    <w:rsid w:val="002039ED"/>
    <w:pPr>
      <w:spacing w:before="100" w:beforeAutospacing="1" w:after="100" w:afterAutospacing="1"/>
      <w:ind w:firstLine="480"/>
    </w:pPr>
  </w:style>
  <w:style w:type="paragraph" w:customStyle="1" w:styleId="hits">
    <w:name w:val="hits"/>
    <w:basedOn w:val="Normal"/>
    <w:rsid w:val="002039ED"/>
    <w:pPr>
      <w:spacing w:before="100" w:beforeAutospacing="1" w:after="100" w:afterAutospacing="1"/>
      <w:ind w:firstLine="480"/>
    </w:pPr>
    <w:rPr>
      <w:color w:val="FF0000"/>
    </w:rPr>
  </w:style>
  <w:style w:type="paragraph" w:customStyle="1" w:styleId="menu-home-title">
    <w:name w:val="menu-home-title"/>
    <w:basedOn w:val="Normal"/>
    <w:rsid w:val="002039ED"/>
    <w:pPr>
      <w:spacing w:before="100" w:beforeAutospacing="1" w:after="100" w:afterAutospacing="1"/>
      <w:ind w:firstLine="480"/>
    </w:pPr>
    <w:rPr>
      <w:color w:val="000000"/>
    </w:rPr>
  </w:style>
  <w:style w:type="paragraph" w:customStyle="1" w:styleId="menu-customers-title">
    <w:name w:val="menu-customers-title"/>
    <w:basedOn w:val="Normal"/>
    <w:rsid w:val="002039ED"/>
    <w:pPr>
      <w:spacing w:before="100" w:beforeAutospacing="1" w:after="100" w:afterAutospacing="1"/>
      <w:ind w:firstLine="480"/>
    </w:pPr>
    <w:rPr>
      <w:color w:val="666633"/>
    </w:rPr>
  </w:style>
  <w:style w:type="paragraph" w:customStyle="1" w:styleId="menu-vendors-title">
    <w:name w:val="menu-vendors-title"/>
    <w:basedOn w:val="Normal"/>
    <w:rsid w:val="002039ED"/>
    <w:pPr>
      <w:spacing w:before="100" w:beforeAutospacing="1" w:after="100" w:afterAutospacing="1"/>
      <w:ind w:firstLine="480"/>
    </w:pPr>
    <w:rPr>
      <w:color w:val="333366"/>
    </w:rPr>
  </w:style>
  <w:style w:type="paragraph" w:customStyle="1" w:styleId="menu-libraries-title">
    <w:name w:val="menu-libraries-title"/>
    <w:basedOn w:val="Normal"/>
    <w:rsid w:val="002039ED"/>
    <w:pPr>
      <w:spacing w:before="100" w:beforeAutospacing="1" w:after="100" w:afterAutospacing="1"/>
      <w:ind w:firstLine="480"/>
    </w:pPr>
    <w:rPr>
      <w:color w:val="006666"/>
    </w:rPr>
  </w:style>
  <w:style w:type="paragraph" w:customStyle="1" w:styleId="two-col-layout-table">
    <w:name w:val="two-col-layout-table"/>
    <w:basedOn w:val="Normal"/>
    <w:rsid w:val="002039ED"/>
    <w:pPr>
      <w:pBdr>
        <w:top w:val="single" w:sz="36" w:space="0" w:color="FFFFFF"/>
      </w:pBdr>
      <w:shd w:val="clear" w:color="auto" w:fill="FFFFFF"/>
      <w:spacing w:before="100" w:beforeAutospacing="1" w:after="100" w:afterAutospacing="1"/>
      <w:ind w:firstLine="480"/>
    </w:pPr>
  </w:style>
  <w:style w:type="paragraph" w:customStyle="1" w:styleId="two-col-layout-left">
    <w:name w:val="two-col-layout-left"/>
    <w:basedOn w:val="Normal"/>
    <w:rsid w:val="002039ED"/>
    <w:pPr>
      <w:pBdr>
        <w:right w:val="single" w:sz="6" w:space="4" w:color="CCCCCC"/>
      </w:pBdr>
      <w:spacing w:before="100" w:beforeAutospacing="1" w:after="100" w:afterAutospacing="1"/>
      <w:ind w:firstLine="480"/>
    </w:pPr>
  </w:style>
  <w:style w:type="paragraph" w:customStyle="1" w:styleId="menu-search-title">
    <w:name w:val="menu-search-title"/>
    <w:basedOn w:val="Normal"/>
    <w:rsid w:val="002039ED"/>
    <w:pPr>
      <w:spacing w:before="100" w:beforeAutospacing="1" w:after="100" w:afterAutospacing="1"/>
      <w:ind w:firstLine="480"/>
    </w:pPr>
    <w:rPr>
      <w:color w:val="990033"/>
    </w:rPr>
  </w:style>
  <w:style w:type="paragraph" w:customStyle="1" w:styleId="left-menu-title">
    <w:name w:val="left-menu-title"/>
    <w:basedOn w:val="Normal"/>
    <w:rsid w:val="002039ED"/>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2039ED"/>
    <w:pPr>
      <w:spacing w:before="100" w:beforeAutospacing="1" w:after="100" w:afterAutospacing="1"/>
      <w:ind w:left="150" w:firstLine="480"/>
    </w:pPr>
  </w:style>
  <w:style w:type="paragraph" w:customStyle="1" w:styleId="sidebar-title-bar">
    <w:name w:val="sidebar-title-bar"/>
    <w:basedOn w:val="Normal"/>
    <w:rsid w:val="002039ED"/>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2039ED"/>
    <w:pPr>
      <w:spacing w:before="150" w:after="100" w:afterAutospacing="1"/>
      <w:ind w:firstLine="480"/>
    </w:pPr>
  </w:style>
  <w:style w:type="paragraph" w:customStyle="1" w:styleId="vert-spacer-450">
    <w:name w:val="vert-spacer-450"/>
    <w:basedOn w:val="Normal"/>
    <w:rsid w:val="002039ED"/>
    <w:pPr>
      <w:spacing w:before="100" w:beforeAutospacing="1" w:after="100" w:afterAutospacing="1"/>
      <w:ind w:firstLine="480"/>
    </w:pPr>
  </w:style>
  <w:style w:type="paragraph" w:customStyle="1" w:styleId="page-title">
    <w:name w:val="page-title"/>
    <w:basedOn w:val="Normal"/>
    <w:rsid w:val="002039ED"/>
    <w:pPr>
      <w:ind w:firstLine="480"/>
    </w:pPr>
    <w:rPr>
      <w:caps/>
      <w:sz w:val="27"/>
      <w:szCs w:val="27"/>
    </w:rPr>
  </w:style>
  <w:style w:type="paragraph" w:customStyle="1" w:styleId="hd1">
    <w:name w:val="hd1"/>
    <w:basedOn w:val="Normal"/>
    <w:rsid w:val="002039ED"/>
    <w:pPr>
      <w:spacing w:before="100" w:beforeAutospacing="1" w:after="100" w:afterAutospacing="1"/>
      <w:ind w:firstLine="480"/>
      <w:jc w:val="center"/>
    </w:pPr>
    <w:rPr>
      <w:smallCaps/>
    </w:rPr>
  </w:style>
  <w:style w:type="paragraph" w:customStyle="1" w:styleId="hd2">
    <w:name w:val="hd2"/>
    <w:basedOn w:val="Normal"/>
    <w:rsid w:val="002039ED"/>
    <w:pPr>
      <w:spacing w:before="100" w:beforeAutospacing="1" w:after="100" w:afterAutospacing="1"/>
      <w:ind w:firstLine="480"/>
      <w:jc w:val="center"/>
    </w:pPr>
    <w:rPr>
      <w:i/>
      <w:iCs/>
    </w:rPr>
  </w:style>
  <w:style w:type="paragraph" w:customStyle="1" w:styleId="hd3">
    <w:name w:val="hd3"/>
    <w:basedOn w:val="Normal"/>
    <w:rsid w:val="002039ED"/>
    <w:pPr>
      <w:spacing w:before="100" w:beforeAutospacing="1" w:after="100" w:afterAutospacing="1"/>
      <w:ind w:firstLine="480"/>
      <w:jc w:val="center"/>
    </w:pPr>
  </w:style>
  <w:style w:type="paragraph" w:customStyle="1" w:styleId="hd4">
    <w:name w:val="hd4"/>
    <w:basedOn w:val="Normal"/>
    <w:rsid w:val="002039ED"/>
    <w:pPr>
      <w:spacing w:before="100" w:beforeAutospacing="1" w:after="100" w:afterAutospacing="1"/>
      <w:ind w:firstLine="480"/>
      <w:jc w:val="center"/>
    </w:pPr>
  </w:style>
  <w:style w:type="paragraph" w:customStyle="1" w:styleId="hd5">
    <w:name w:val="hd5"/>
    <w:basedOn w:val="Normal"/>
    <w:rsid w:val="002039ED"/>
    <w:pPr>
      <w:spacing w:before="100" w:beforeAutospacing="1" w:after="100" w:afterAutospacing="1"/>
      <w:ind w:firstLine="480"/>
      <w:jc w:val="center"/>
    </w:pPr>
    <w:rPr>
      <w:b/>
      <w:bCs/>
      <w:sz w:val="23"/>
      <w:szCs w:val="23"/>
    </w:rPr>
  </w:style>
  <w:style w:type="paragraph" w:customStyle="1" w:styleId="hed1">
    <w:name w:val="hed1"/>
    <w:basedOn w:val="Normal"/>
    <w:rsid w:val="002039ED"/>
    <w:pPr>
      <w:spacing w:before="100" w:beforeAutospacing="1" w:after="100" w:afterAutospacing="1"/>
      <w:ind w:firstLine="480"/>
      <w:jc w:val="center"/>
    </w:pPr>
    <w:rPr>
      <w:b/>
      <w:bCs/>
      <w:sz w:val="20"/>
      <w:szCs w:val="20"/>
    </w:rPr>
  </w:style>
  <w:style w:type="paragraph" w:customStyle="1" w:styleId="frp">
    <w:name w:val="frp"/>
    <w:basedOn w:val="Normal"/>
    <w:rsid w:val="002039ED"/>
    <w:pPr>
      <w:spacing w:before="100" w:beforeAutospacing="1" w:after="100" w:afterAutospacing="1"/>
      <w:ind w:right="480"/>
      <w:jc w:val="right"/>
    </w:pPr>
  </w:style>
  <w:style w:type="paragraph" w:customStyle="1" w:styleId="frp0">
    <w:name w:val="frp0"/>
    <w:basedOn w:val="Normal"/>
    <w:rsid w:val="002039ED"/>
    <w:pPr>
      <w:spacing w:before="100" w:beforeAutospacing="1" w:after="100" w:afterAutospacing="1"/>
      <w:jc w:val="right"/>
    </w:pPr>
  </w:style>
  <w:style w:type="paragraph" w:customStyle="1" w:styleId="p1">
    <w:name w:val="p1"/>
    <w:basedOn w:val="Normal"/>
    <w:rsid w:val="002039ED"/>
    <w:pPr>
      <w:spacing w:before="100" w:beforeAutospacing="1" w:after="100" w:afterAutospacing="1"/>
      <w:ind w:left="1440" w:hanging="480"/>
    </w:pPr>
  </w:style>
  <w:style w:type="paragraph" w:customStyle="1" w:styleId="p-1">
    <w:name w:val="p-1"/>
    <w:basedOn w:val="Normal"/>
    <w:rsid w:val="002039ED"/>
    <w:pPr>
      <w:spacing w:before="100" w:beforeAutospacing="1" w:after="100" w:afterAutospacing="1"/>
      <w:ind w:left="480"/>
    </w:pPr>
  </w:style>
  <w:style w:type="paragraph" w:customStyle="1" w:styleId="p2">
    <w:name w:val="p2"/>
    <w:basedOn w:val="Normal"/>
    <w:rsid w:val="002039ED"/>
    <w:pPr>
      <w:spacing w:before="100" w:beforeAutospacing="1" w:after="100" w:afterAutospacing="1"/>
      <w:ind w:left="480" w:firstLine="480"/>
    </w:pPr>
  </w:style>
  <w:style w:type="paragraph" w:customStyle="1" w:styleId="p-2">
    <w:name w:val="p-2"/>
    <w:basedOn w:val="Normal"/>
    <w:rsid w:val="002039ED"/>
    <w:pPr>
      <w:spacing w:before="100" w:beforeAutospacing="1" w:after="100" w:afterAutospacing="1"/>
      <w:ind w:left="960"/>
    </w:pPr>
  </w:style>
  <w:style w:type="paragraph" w:customStyle="1" w:styleId="p-3">
    <w:name w:val="p-3"/>
    <w:basedOn w:val="Normal"/>
    <w:rsid w:val="002039ED"/>
    <w:pPr>
      <w:spacing w:before="100" w:beforeAutospacing="1" w:after="100" w:afterAutospacing="1"/>
      <w:ind w:left="960" w:hanging="480"/>
    </w:pPr>
  </w:style>
  <w:style w:type="paragraph" w:customStyle="1" w:styleId="fp">
    <w:name w:val="fp"/>
    <w:basedOn w:val="Normal"/>
    <w:rsid w:val="002039ED"/>
    <w:pPr>
      <w:spacing w:before="200" w:after="100" w:afterAutospacing="1"/>
    </w:pPr>
  </w:style>
  <w:style w:type="paragraph" w:customStyle="1" w:styleId="contentsp">
    <w:name w:val="contentsp"/>
    <w:basedOn w:val="Normal"/>
    <w:rsid w:val="002039ED"/>
    <w:pPr>
      <w:spacing w:before="200" w:after="100" w:afterAutospacing="1"/>
    </w:pPr>
    <w:rPr>
      <w:b/>
      <w:bCs/>
      <w:sz w:val="20"/>
      <w:szCs w:val="20"/>
    </w:rPr>
  </w:style>
  <w:style w:type="paragraph" w:customStyle="1" w:styleId="contentsg">
    <w:name w:val="contentsg"/>
    <w:basedOn w:val="Normal"/>
    <w:rsid w:val="002039ED"/>
    <w:pPr>
      <w:spacing w:before="200" w:after="100" w:afterAutospacing="1"/>
    </w:pPr>
    <w:rPr>
      <w:smallCaps/>
      <w:sz w:val="20"/>
      <w:szCs w:val="20"/>
    </w:rPr>
  </w:style>
  <w:style w:type="paragraph" w:customStyle="1" w:styleId="source">
    <w:name w:val="source"/>
    <w:basedOn w:val="Normal"/>
    <w:rsid w:val="002039ED"/>
    <w:pPr>
      <w:spacing w:before="200" w:after="100" w:afterAutospacing="1"/>
      <w:ind w:firstLine="480"/>
    </w:pPr>
    <w:rPr>
      <w:sz w:val="18"/>
      <w:szCs w:val="18"/>
    </w:rPr>
  </w:style>
  <w:style w:type="paragraph" w:customStyle="1" w:styleId="ednote">
    <w:name w:val="ednote"/>
    <w:basedOn w:val="Normal"/>
    <w:rsid w:val="002039ED"/>
    <w:pPr>
      <w:spacing w:before="200" w:after="100" w:afterAutospacing="1"/>
      <w:ind w:firstLine="480"/>
    </w:pPr>
    <w:rPr>
      <w:sz w:val="18"/>
      <w:szCs w:val="18"/>
    </w:rPr>
  </w:style>
  <w:style w:type="paragraph" w:customStyle="1" w:styleId="effdnot">
    <w:name w:val="effdnot"/>
    <w:basedOn w:val="Normal"/>
    <w:rsid w:val="002039ED"/>
    <w:pPr>
      <w:spacing w:before="200" w:after="100" w:afterAutospacing="1"/>
      <w:ind w:firstLine="480"/>
    </w:pPr>
    <w:rPr>
      <w:sz w:val="18"/>
      <w:szCs w:val="18"/>
    </w:rPr>
  </w:style>
  <w:style w:type="paragraph" w:customStyle="1" w:styleId="example">
    <w:name w:val="example"/>
    <w:basedOn w:val="Normal"/>
    <w:rsid w:val="002039ED"/>
    <w:pPr>
      <w:spacing w:before="200" w:after="100" w:afterAutospacing="1"/>
      <w:ind w:firstLine="480"/>
    </w:pPr>
    <w:rPr>
      <w:sz w:val="18"/>
      <w:szCs w:val="18"/>
    </w:rPr>
  </w:style>
  <w:style w:type="paragraph" w:customStyle="1" w:styleId="crossref">
    <w:name w:val="crossref"/>
    <w:basedOn w:val="Normal"/>
    <w:rsid w:val="002039ED"/>
    <w:pPr>
      <w:spacing w:before="200" w:after="100" w:afterAutospacing="1"/>
      <w:ind w:firstLine="480"/>
    </w:pPr>
    <w:rPr>
      <w:sz w:val="18"/>
      <w:szCs w:val="18"/>
    </w:rPr>
  </w:style>
  <w:style w:type="paragraph" w:customStyle="1" w:styleId="note">
    <w:name w:val="note"/>
    <w:basedOn w:val="Normal"/>
    <w:rsid w:val="002039ED"/>
    <w:pPr>
      <w:spacing w:before="200" w:after="100" w:afterAutospacing="1"/>
      <w:ind w:firstLine="480"/>
    </w:pPr>
    <w:rPr>
      <w:sz w:val="18"/>
      <w:szCs w:val="18"/>
    </w:rPr>
  </w:style>
  <w:style w:type="paragraph" w:customStyle="1" w:styleId="cita">
    <w:name w:val="cita"/>
    <w:basedOn w:val="Normal"/>
    <w:rsid w:val="002039ED"/>
    <w:pPr>
      <w:spacing w:before="200" w:after="100" w:afterAutospacing="1"/>
    </w:pPr>
    <w:rPr>
      <w:sz w:val="18"/>
      <w:szCs w:val="18"/>
    </w:rPr>
  </w:style>
  <w:style w:type="paragraph" w:customStyle="1" w:styleId="appro">
    <w:name w:val="appro"/>
    <w:basedOn w:val="Normal"/>
    <w:rsid w:val="002039ED"/>
    <w:pPr>
      <w:spacing w:before="200" w:after="100" w:afterAutospacing="1"/>
    </w:pPr>
    <w:rPr>
      <w:sz w:val="18"/>
      <w:szCs w:val="18"/>
    </w:rPr>
  </w:style>
  <w:style w:type="paragraph" w:customStyle="1" w:styleId="auth">
    <w:name w:val="auth"/>
    <w:basedOn w:val="Normal"/>
    <w:rsid w:val="002039ED"/>
    <w:pPr>
      <w:spacing w:before="200" w:after="100" w:afterAutospacing="1"/>
      <w:ind w:firstLine="480"/>
    </w:pPr>
    <w:rPr>
      <w:sz w:val="18"/>
      <w:szCs w:val="18"/>
    </w:rPr>
  </w:style>
  <w:style w:type="paragraph" w:customStyle="1" w:styleId="parauth">
    <w:name w:val="parauth"/>
    <w:basedOn w:val="Normal"/>
    <w:rsid w:val="002039ED"/>
    <w:pPr>
      <w:spacing w:before="200" w:after="100" w:afterAutospacing="1"/>
    </w:pPr>
    <w:rPr>
      <w:sz w:val="18"/>
      <w:szCs w:val="18"/>
    </w:rPr>
  </w:style>
  <w:style w:type="paragraph" w:customStyle="1" w:styleId="secauth">
    <w:name w:val="secauth"/>
    <w:basedOn w:val="Normal"/>
    <w:rsid w:val="002039ED"/>
    <w:pPr>
      <w:spacing w:before="200" w:after="100" w:afterAutospacing="1"/>
    </w:pPr>
    <w:rPr>
      <w:sz w:val="18"/>
      <w:szCs w:val="18"/>
    </w:rPr>
  </w:style>
  <w:style w:type="paragraph" w:customStyle="1" w:styleId="apphead">
    <w:name w:val="apphead"/>
    <w:basedOn w:val="Normal"/>
    <w:rsid w:val="002039ED"/>
    <w:pPr>
      <w:spacing w:before="200" w:after="100"/>
      <w:ind w:firstLine="480"/>
      <w:jc w:val="center"/>
    </w:pPr>
    <w:rPr>
      <w:smallCaps/>
      <w:sz w:val="20"/>
      <w:szCs w:val="20"/>
    </w:rPr>
  </w:style>
  <w:style w:type="paragraph" w:customStyle="1" w:styleId="sphead">
    <w:name w:val="sphead"/>
    <w:basedOn w:val="Normal"/>
    <w:rsid w:val="002039ED"/>
    <w:pPr>
      <w:spacing w:before="200" w:after="100"/>
    </w:pPr>
    <w:rPr>
      <w:b/>
      <w:bCs/>
      <w:sz w:val="27"/>
      <w:szCs w:val="27"/>
    </w:rPr>
  </w:style>
  <w:style w:type="paragraph" w:customStyle="1" w:styleId="sghead">
    <w:name w:val="sghead"/>
    <w:basedOn w:val="Normal"/>
    <w:rsid w:val="002039ED"/>
    <w:pPr>
      <w:spacing w:before="200" w:after="100"/>
      <w:jc w:val="center"/>
    </w:pPr>
    <w:rPr>
      <w:smallCaps/>
      <w:sz w:val="20"/>
      <w:szCs w:val="20"/>
    </w:rPr>
  </w:style>
  <w:style w:type="paragraph" w:customStyle="1" w:styleId="stars">
    <w:name w:val="stars"/>
    <w:basedOn w:val="Normal"/>
    <w:rsid w:val="002039ED"/>
    <w:pPr>
      <w:spacing w:before="100" w:beforeAutospacing="1" w:after="100" w:afterAutospacing="1"/>
      <w:ind w:firstLine="480"/>
    </w:pPr>
  </w:style>
  <w:style w:type="paragraph" w:customStyle="1" w:styleId="tcap">
    <w:name w:val="tcap"/>
    <w:basedOn w:val="Normal"/>
    <w:rsid w:val="002039ED"/>
    <w:pPr>
      <w:spacing w:before="100" w:beforeAutospacing="1" w:after="100" w:afterAutospacing="1"/>
      <w:ind w:firstLine="480"/>
      <w:jc w:val="center"/>
    </w:pPr>
  </w:style>
  <w:style w:type="paragraph" w:customStyle="1" w:styleId="bcap">
    <w:name w:val="bcap"/>
    <w:basedOn w:val="Normal"/>
    <w:rsid w:val="002039ED"/>
    <w:pPr>
      <w:spacing w:before="100" w:beforeAutospacing="1" w:after="100" w:afterAutospacing="1"/>
      <w:ind w:firstLine="480"/>
    </w:pPr>
  </w:style>
  <w:style w:type="paragraph" w:customStyle="1" w:styleId="fp-1">
    <w:name w:val="fp-1"/>
    <w:basedOn w:val="Normal"/>
    <w:rsid w:val="002039ED"/>
    <w:pPr>
      <w:spacing w:before="200" w:after="100"/>
      <w:ind w:left="480" w:hanging="480"/>
    </w:pPr>
  </w:style>
  <w:style w:type="paragraph" w:customStyle="1" w:styleId="fp-2">
    <w:name w:val="fp-2"/>
    <w:basedOn w:val="Normal"/>
    <w:rsid w:val="002039ED"/>
    <w:pPr>
      <w:spacing w:before="200" w:after="100"/>
      <w:ind w:left="960" w:hanging="960"/>
    </w:pPr>
  </w:style>
  <w:style w:type="paragraph" w:customStyle="1" w:styleId="fp1-2">
    <w:name w:val="fp1-2"/>
    <w:basedOn w:val="Normal"/>
    <w:rsid w:val="002039ED"/>
    <w:pPr>
      <w:spacing w:before="200" w:after="100"/>
      <w:ind w:left="960" w:hanging="480"/>
    </w:pPr>
  </w:style>
  <w:style w:type="paragraph" w:customStyle="1" w:styleId="fp2-2">
    <w:name w:val="fp2-2"/>
    <w:basedOn w:val="Normal"/>
    <w:rsid w:val="002039ED"/>
    <w:pPr>
      <w:spacing w:before="200" w:after="100"/>
      <w:ind w:left="960"/>
    </w:pPr>
  </w:style>
  <w:style w:type="paragraph" w:customStyle="1" w:styleId="fp2-3">
    <w:name w:val="fp2-3"/>
    <w:basedOn w:val="Normal"/>
    <w:rsid w:val="002039ED"/>
    <w:pPr>
      <w:spacing w:before="200" w:after="100"/>
      <w:ind w:left="1440" w:hanging="480"/>
    </w:pPr>
  </w:style>
  <w:style w:type="paragraph" w:customStyle="1" w:styleId="contents">
    <w:name w:val="contents"/>
    <w:basedOn w:val="Normal"/>
    <w:rsid w:val="002039ED"/>
    <w:pPr>
      <w:spacing w:before="200" w:after="100"/>
    </w:pPr>
  </w:style>
  <w:style w:type="paragraph" w:customStyle="1" w:styleId="three-col-layout-middle">
    <w:name w:val="three-col-layout-middle"/>
    <w:basedOn w:val="Normal"/>
    <w:rsid w:val="002039ED"/>
    <w:pPr>
      <w:pBdr>
        <w:left w:val="single" w:sz="6" w:space="0" w:color="CCCCCC"/>
      </w:pBdr>
      <w:spacing w:before="100" w:beforeAutospacing="1" w:after="100" w:afterAutospacing="1"/>
      <w:ind w:firstLine="480"/>
    </w:pPr>
  </w:style>
  <w:style w:type="paragraph" w:customStyle="1" w:styleId="three-col-layout-right">
    <w:name w:val="three-col-layout-right"/>
    <w:basedOn w:val="Normal"/>
    <w:rsid w:val="002039ED"/>
    <w:pPr>
      <w:pBdr>
        <w:left w:val="single" w:sz="6" w:space="0" w:color="CCCCCC"/>
      </w:pBdr>
      <w:spacing w:before="100" w:beforeAutospacing="1" w:after="100" w:afterAutospacing="1"/>
      <w:ind w:firstLine="480"/>
    </w:pPr>
  </w:style>
  <w:style w:type="paragraph" w:customStyle="1" w:styleId="extract">
    <w:name w:val="extract"/>
    <w:basedOn w:val="Normal"/>
    <w:rsid w:val="002039ED"/>
    <w:pPr>
      <w:spacing w:before="100" w:beforeAutospacing="1" w:after="100" w:afterAutospacing="1"/>
      <w:ind w:firstLine="480"/>
    </w:pPr>
    <w:rPr>
      <w:sz w:val="18"/>
      <w:szCs w:val="18"/>
    </w:rPr>
  </w:style>
  <w:style w:type="paragraph" w:customStyle="1" w:styleId="ftnt">
    <w:name w:val="ftnt"/>
    <w:basedOn w:val="Normal"/>
    <w:rsid w:val="002039ED"/>
    <w:pPr>
      <w:spacing w:before="100" w:beforeAutospacing="1" w:after="100" w:afterAutospacing="1"/>
      <w:ind w:firstLine="480"/>
    </w:pPr>
    <w:rPr>
      <w:sz w:val="18"/>
      <w:szCs w:val="18"/>
    </w:rPr>
  </w:style>
  <w:style w:type="paragraph" w:customStyle="1" w:styleId="tpl">
    <w:name w:val="tpl"/>
    <w:basedOn w:val="Normal"/>
    <w:rsid w:val="002039ED"/>
    <w:pPr>
      <w:spacing w:before="100" w:beforeAutospacing="1" w:after="100" w:afterAutospacing="1"/>
      <w:ind w:firstLine="480"/>
    </w:pPr>
    <w:rPr>
      <w:sz w:val="20"/>
      <w:szCs w:val="20"/>
    </w:rPr>
  </w:style>
  <w:style w:type="paragraph" w:customStyle="1" w:styleId="sechd">
    <w:name w:val="sechd"/>
    <w:basedOn w:val="Normal"/>
    <w:rsid w:val="002039ED"/>
    <w:pPr>
      <w:spacing w:after="100" w:afterAutospacing="1"/>
    </w:pPr>
  </w:style>
  <w:style w:type="paragraph" w:customStyle="1" w:styleId="centry">
    <w:name w:val="c_entry"/>
    <w:basedOn w:val="Normal"/>
    <w:rsid w:val="002039ED"/>
    <w:pPr>
      <w:spacing w:after="100" w:afterAutospacing="1"/>
    </w:pPr>
  </w:style>
  <w:style w:type="character" w:customStyle="1" w:styleId="fpdash">
    <w:name w:val="fpdash"/>
    <w:basedOn w:val="DefaultParagraphFont"/>
    <w:rsid w:val="002039ED"/>
    <w:rPr>
      <w:shd w:val="clear" w:color="auto" w:fill="FFFFFF"/>
    </w:rPr>
  </w:style>
  <w:style w:type="character" w:customStyle="1" w:styleId="pdash">
    <w:name w:val="pdash"/>
    <w:basedOn w:val="DefaultParagraphFont"/>
    <w:rsid w:val="002039ED"/>
    <w:rPr>
      <w:shd w:val="clear" w:color="auto" w:fill="FFFFFF"/>
    </w:rPr>
  </w:style>
</w:styles>
</file>

<file path=word/webSettings.xml><?xml version="1.0" encoding="utf-8"?>
<w:webSettings xmlns:r="http://schemas.openxmlformats.org/officeDocument/2006/relationships" xmlns:w="http://schemas.openxmlformats.org/wordprocessingml/2006/main">
  <w:divs>
    <w:div w:id="751006748">
      <w:bodyDiv w:val="1"/>
      <w:marLeft w:val="0"/>
      <w:marRight w:val="0"/>
      <w:marTop w:val="0"/>
      <w:marBottom w:val="0"/>
      <w:divBdr>
        <w:top w:val="none" w:sz="0" w:space="0" w:color="auto"/>
        <w:left w:val="none" w:sz="0" w:space="0" w:color="auto"/>
        <w:bottom w:val="none" w:sz="0" w:space="0" w:color="auto"/>
        <w:right w:val="none" w:sz="0" w:space="0" w:color="auto"/>
      </w:divBdr>
      <w:divsChild>
        <w:div w:id="185674312">
          <w:marLeft w:val="0"/>
          <w:marRight w:val="0"/>
          <w:marTop w:val="0"/>
          <w:marBottom w:val="0"/>
          <w:divBdr>
            <w:top w:val="none" w:sz="0" w:space="0" w:color="auto"/>
            <w:left w:val="none" w:sz="0" w:space="0" w:color="auto"/>
            <w:bottom w:val="none" w:sz="0" w:space="0" w:color="auto"/>
            <w:right w:val="none" w:sz="0" w:space="0" w:color="auto"/>
          </w:divBdr>
          <w:divsChild>
            <w:div w:id="1009285889">
              <w:marLeft w:val="0"/>
              <w:marRight w:val="0"/>
              <w:marTop w:val="0"/>
              <w:marBottom w:val="0"/>
              <w:divBdr>
                <w:top w:val="none" w:sz="0" w:space="0" w:color="auto"/>
                <w:left w:val="none" w:sz="0" w:space="0" w:color="auto"/>
                <w:bottom w:val="none" w:sz="0" w:space="0" w:color="auto"/>
                <w:right w:val="none" w:sz="0" w:space="0" w:color="auto"/>
              </w:divBdr>
            </w:div>
            <w:div w:id="1862939535">
              <w:marLeft w:val="0"/>
              <w:marRight w:val="0"/>
              <w:marTop w:val="0"/>
              <w:marBottom w:val="0"/>
              <w:divBdr>
                <w:top w:val="none" w:sz="0" w:space="0" w:color="auto"/>
                <w:left w:val="none" w:sz="0" w:space="0" w:color="auto"/>
                <w:bottom w:val="none" w:sz="0" w:space="0" w:color="auto"/>
                <w:right w:val="none" w:sz="0" w:space="0" w:color="auto"/>
              </w:divBdr>
            </w:div>
            <w:div w:id="18688330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21645947">
          <w:marLeft w:val="0"/>
          <w:marRight w:val="0"/>
          <w:marTop w:val="0"/>
          <w:marBottom w:val="0"/>
          <w:divBdr>
            <w:top w:val="none" w:sz="0" w:space="0" w:color="auto"/>
            <w:left w:val="none" w:sz="0" w:space="0" w:color="auto"/>
            <w:bottom w:val="none" w:sz="0" w:space="0" w:color="auto"/>
            <w:right w:val="none" w:sz="0" w:space="0" w:color="auto"/>
          </w:divBdr>
          <w:divsChild>
            <w:div w:id="1342395487">
              <w:marLeft w:val="0"/>
              <w:marRight w:val="0"/>
              <w:marTop w:val="0"/>
              <w:marBottom w:val="0"/>
              <w:divBdr>
                <w:top w:val="none" w:sz="0" w:space="0" w:color="auto"/>
                <w:left w:val="none" w:sz="0" w:space="0" w:color="auto"/>
                <w:bottom w:val="none" w:sz="0" w:space="0" w:color="auto"/>
                <w:right w:val="none" w:sz="0" w:space="0" w:color="auto"/>
              </w:divBdr>
            </w:div>
            <w:div w:id="157300758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99116172">
          <w:marLeft w:val="0"/>
          <w:marRight w:val="0"/>
          <w:marTop w:val="0"/>
          <w:marBottom w:val="0"/>
          <w:divBdr>
            <w:top w:val="none" w:sz="0" w:space="0" w:color="auto"/>
            <w:left w:val="none" w:sz="0" w:space="0" w:color="auto"/>
            <w:bottom w:val="none" w:sz="0" w:space="0" w:color="auto"/>
            <w:right w:val="none" w:sz="0" w:space="0" w:color="auto"/>
          </w:divBdr>
          <w:divsChild>
            <w:div w:id="1232736162">
              <w:marLeft w:val="0"/>
              <w:marRight w:val="0"/>
              <w:marTop w:val="0"/>
              <w:marBottom w:val="0"/>
              <w:divBdr>
                <w:top w:val="none" w:sz="0" w:space="0" w:color="auto"/>
                <w:left w:val="none" w:sz="0" w:space="0" w:color="auto"/>
                <w:bottom w:val="none" w:sz="0" w:space="0" w:color="auto"/>
                <w:right w:val="none" w:sz="0" w:space="0" w:color="auto"/>
              </w:divBdr>
            </w:div>
            <w:div w:id="13095546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8843144">
          <w:marLeft w:val="0"/>
          <w:marRight w:val="0"/>
          <w:marTop w:val="0"/>
          <w:marBottom w:val="0"/>
          <w:divBdr>
            <w:top w:val="none" w:sz="0" w:space="0" w:color="auto"/>
            <w:left w:val="none" w:sz="0" w:space="0" w:color="auto"/>
            <w:bottom w:val="none" w:sz="0" w:space="0" w:color="auto"/>
            <w:right w:val="none" w:sz="0" w:space="0" w:color="auto"/>
          </w:divBdr>
          <w:divsChild>
            <w:div w:id="594364725">
              <w:marLeft w:val="0"/>
              <w:marRight w:val="0"/>
              <w:marTop w:val="0"/>
              <w:marBottom w:val="0"/>
              <w:divBdr>
                <w:top w:val="single" w:sz="12" w:space="0" w:color="000000"/>
                <w:left w:val="single" w:sz="12" w:space="0" w:color="000000"/>
                <w:bottom w:val="single" w:sz="12" w:space="0" w:color="000000"/>
                <w:right w:val="single" w:sz="12" w:space="0" w:color="000000"/>
              </w:divBdr>
            </w:div>
            <w:div w:id="1376352215">
              <w:marLeft w:val="0"/>
              <w:marRight w:val="0"/>
              <w:marTop w:val="0"/>
              <w:marBottom w:val="0"/>
              <w:divBdr>
                <w:top w:val="none" w:sz="0" w:space="0" w:color="auto"/>
                <w:left w:val="none" w:sz="0" w:space="0" w:color="auto"/>
                <w:bottom w:val="none" w:sz="0" w:space="0" w:color="auto"/>
                <w:right w:val="none" w:sz="0" w:space="0" w:color="auto"/>
              </w:divBdr>
            </w:div>
          </w:divsChild>
        </w:div>
        <w:div w:id="761995822">
          <w:marLeft w:val="0"/>
          <w:marRight w:val="0"/>
          <w:marTop w:val="0"/>
          <w:marBottom w:val="0"/>
          <w:divBdr>
            <w:top w:val="none" w:sz="0" w:space="0" w:color="auto"/>
            <w:left w:val="none" w:sz="0" w:space="0" w:color="auto"/>
            <w:bottom w:val="none" w:sz="0" w:space="0" w:color="auto"/>
            <w:right w:val="none" w:sz="0" w:space="0" w:color="auto"/>
          </w:divBdr>
          <w:divsChild>
            <w:div w:id="247544351">
              <w:marLeft w:val="0"/>
              <w:marRight w:val="0"/>
              <w:marTop w:val="0"/>
              <w:marBottom w:val="0"/>
              <w:divBdr>
                <w:top w:val="none" w:sz="0" w:space="0" w:color="auto"/>
                <w:left w:val="none" w:sz="0" w:space="0" w:color="auto"/>
                <w:bottom w:val="none" w:sz="0" w:space="0" w:color="auto"/>
                <w:right w:val="none" w:sz="0" w:space="0" w:color="auto"/>
              </w:divBdr>
            </w:div>
            <w:div w:id="12462332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10654018">
          <w:marLeft w:val="0"/>
          <w:marRight w:val="0"/>
          <w:marTop w:val="0"/>
          <w:marBottom w:val="0"/>
          <w:divBdr>
            <w:top w:val="none" w:sz="0" w:space="0" w:color="auto"/>
            <w:left w:val="none" w:sz="0" w:space="0" w:color="auto"/>
            <w:bottom w:val="none" w:sz="0" w:space="0" w:color="auto"/>
            <w:right w:val="none" w:sz="0" w:space="0" w:color="auto"/>
          </w:divBdr>
          <w:divsChild>
            <w:div w:id="1626158911">
              <w:marLeft w:val="0"/>
              <w:marRight w:val="0"/>
              <w:marTop w:val="0"/>
              <w:marBottom w:val="0"/>
              <w:divBdr>
                <w:top w:val="none" w:sz="0" w:space="0" w:color="auto"/>
                <w:left w:val="none" w:sz="0" w:space="0" w:color="auto"/>
                <w:bottom w:val="none" w:sz="0" w:space="0" w:color="auto"/>
                <w:right w:val="none" w:sz="0" w:space="0" w:color="auto"/>
              </w:divBdr>
            </w:div>
            <w:div w:id="20185370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9213663">
          <w:marLeft w:val="0"/>
          <w:marRight w:val="0"/>
          <w:marTop w:val="0"/>
          <w:marBottom w:val="0"/>
          <w:divBdr>
            <w:top w:val="none" w:sz="0" w:space="0" w:color="auto"/>
            <w:left w:val="none" w:sz="0" w:space="0" w:color="auto"/>
            <w:bottom w:val="none" w:sz="0" w:space="0" w:color="auto"/>
            <w:right w:val="none" w:sz="0" w:space="0" w:color="auto"/>
          </w:divBdr>
          <w:divsChild>
            <w:div w:id="99186109">
              <w:marLeft w:val="0"/>
              <w:marRight w:val="0"/>
              <w:marTop w:val="0"/>
              <w:marBottom w:val="0"/>
              <w:divBdr>
                <w:top w:val="none" w:sz="0" w:space="0" w:color="auto"/>
                <w:left w:val="none" w:sz="0" w:space="0" w:color="auto"/>
                <w:bottom w:val="none" w:sz="0" w:space="0" w:color="auto"/>
                <w:right w:val="none" w:sz="0" w:space="0" w:color="auto"/>
              </w:divBdr>
            </w:div>
            <w:div w:id="979069084">
              <w:marLeft w:val="0"/>
              <w:marRight w:val="0"/>
              <w:marTop w:val="0"/>
              <w:marBottom w:val="0"/>
              <w:divBdr>
                <w:top w:val="none" w:sz="0" w:space="0" w:color="auto"/>
                <w:left w:val="none" w:sz="0" w:space="0" w:color="auto"/>
                <w:bottom w:val="none" w:sz="0" w:space="0" w:color="auto"/>
                <w:right w:val="none" w:sz="0" w:space="0" w:color="auto"/>
              </w:divBdr>
            </w:div>
            <w:div w:id="19967163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29362953">
          <w:marLeft w:val="0"/>
          <w:marRight w:val="0"/>
          <w:marTop w:val="0"/>
          <w:marBottom w:val="0"/>
          <w:divBdr>
            <w:top w:val="none" w:sz="0" w:space="0" w:color="auto"/>
            <w:left w:val="none" w:sz="0" w:space="0" w:color="auto"/>
            <w:bottom w:val="none" w:sz="0" w:space="0" w:color="auto"/>
            <w:right w:val="none" w:sz="0" w:space="0" w:color="auto"/>
          </w:divBdr>
          <w:divsChild>
            <w:div w:id="1131365326">
              <w:marLeft w:val="0"/>
              <w:marRight w:val="0"/>
              <w:marTop w:val="0"/>
              <w:marBottom w:val="0"/>
              <w:divBdr>
                <w:top w:val="single" w:sz="12" w:space="0" w:color="000000"/>
                <w:left w:val="single" w:sz="12" w:space="0" w:color="000000"/>
                <w:bottom w:val="single" w:sz="12" w:space="0" w:color="000000"/>
                <w:right w:val="single" w:sz="12" w:space="0" w:color="000000"/>
              </w:divBdr>
            </w:div>
            <w:div w:id="1485852956">
              <w:marLeft w:val="0"/>
              <w:marRight w:val="0"/>
              <w:marTop w:val="0"/>
              <w:marBottom w:val="0"/>
              <w:divBdr>
                <w:top w:val="none" w:sz="0" w:space="0" w:color="auto"/>
                <w:left w:val="none" w:sz="0" w:space="0" w:color="auto"/>
                <w:bottom w:val="none" w:sz="0" w:space="0" w:color="auto"/>
                <w:right w:val="none" w:sz="0" w:space="0" w:color="auto"/>
              </w:divBdr>
            </w:div>
          </w:divsChild>
        </w:div>
        <w:div w:id="1332027808">
          <w:marLeft w:val="0"/>
          <w:marRight w:val="0"/>
          <w:marTop w:val="0"/>
          <w:marBottom w:val="0"/>
          <w:divBdr>
            <w:top w:val="none" w:sz="0" w:space="0" w:color="auto"/>
            <w:left w:val="none" w:sz="0" w:space="0" w:color="auto"/>
            <w:bottom w:val="none" w:sz="0" w:space="0" w:color="auto"/>
            <w:right w:val="none" w:sz="0" w:space="0" w:color="auto"/>
          </w:divBdr>
          <w:divsChild>
            <w:div w:id="947395701">
              <w:marLeft w:val="0"/>
              <w:marRight w:val="0"/>
              <w:marTop w:val="0"/>
              <w:marBottom w:val="0"/>
              <w:divBdr>
                <w:top w:val="single" w:sz="12" w:space="0" w:color="000000"/>
                <w:left w:val="single" w:sz="12" w:space="0" w:color="000000"/>
                <w:bottom w:val="single" w:sz="12" w:space="0" w:color="000000"/>
                <w:right w:val="single" w:sz="12" w:space="0" w:color="000000"/>
              </w:divBdr>
            </w:div>
            <w:div w:id="1243368995">
              <w:marLeft w:val="0"/>
              <w:marRight w:val="0"/>
              <w:marTop w:val="0"/>
              <w:marBottom w:val="0"/>
              <w:divBdr>
                <w:top w:val="none" w:sz="0" w:space="0" w:color="auto"/>
                <w:left w:val="none" w:sz="0" w:space="0" w:color="auto"/>
                <w:bottom w:val="none" w:sz="0" w:space="0" w:color="auto"/>
                <w:right w:val="none" w:sz="0" w:space="0" w:color="auto"/>
              </w:divBdr>
            </w:div>
            <w:div w:id="1437094876">
              <w:marLeft w:val="0"/>
              <w:marRight w:val="0"/>
              <w:marTop w:val="0"/>
              <w:marBottom w:val="0"/>
              <w:divBdr>
                <w:top w:val="none" w:sz="0" w:space="0" w:color="auto"/>
                <w:left w:val="none" w:sz="0" w:space="0" w:color="auto"/>
                <w:bottom w:val="none" w:sz="0" w:space="0" w:color="auto"/>
                <w:right w:val="none" w:sz="0" w:space="0" w:color="auto"/>
              </w:divBdr>
            </w:div>
          </w:divsChild>
        </w:div>
        <w:div w:id="1963611730">
          <w:marLeft w:val="0"/>
          <w:marRight w:val="0"/>
          <w:marTop w:val="0"/>
          <w:marBottom w:val="0"/>
          <w:divBdr>
            <w:top w:val="none" w:sz="0" w:space="0" w:color="auto"/>
            <w:left w:val="none" w:sz="0" w:space="0" w:color="auto"/>
            <w:bottom w:val="none" w:sz="0" w:space="0" w:color="auto"/>
            <w:right w:val="none" w:sz="0" w:space="0" w:color="auto"/>
          </w:divBdr>
          <w:divsChild>
            <w:div w:id="1110321951">
              <w:marLeft w:val="0"/>
              <w:marRight w:val="0"/>
              <w:marTop w:val="0"/>
              <w:marBottom w:val="0"/>
              <w:divBdr>
                <w:top w:val="none" w:sz="0" w:space="0" w:color="auto"/>
                <w:left w:val="none" w:sz="0" w:space="0" w:color="auto"/>
                <w:bottom w:val="none" w:sz="0" w:space="0" w:color="auto"/>
                <w:right w:val="none" w:sz="0" w:space="0" w:color="auto"/>
              </w:divBdr>
            </w:div>
            <w:div w:id="12743647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8890924">
      <w:bodyDiv w:val="1"/>
      <w:marLeft w:val="0"/>
      <w:marRight w:val="0"/>
      <w:marTop w:val="0"/>
      <w:marBottom w:val="0"/>
      <w:divBdr>
        <w:top w:val="none" w:sz="0" w:space="0" w:color="auto"/>
        <w:left w:val="none" w:sz="0" w:space="0" w:color="auto"/>
        <w:bottom w:val="none" w:sz="0" w:space="0" w:color="auto"/>
        <w:right w:val="none" w:sz="0" w:space="0" w:color="auto"/>
      </w:divBdr>
      <w:divsChild>
        <w:div w:id="886261200">
          <w:marLeft w:val="0"/>
          <w:marRight w:val="0"/>
          <w:marTop w:val="0"/>
          <w:marBottom w:val="0"/>
          <w:divBdr>
            <w:top w:val="none" w:sz="0" w:space="0" w:color="auto"/>
            <w:left w:val="none" w:sz="0" w:space="0" w:color="auto"/>
            <w:bottom w:val="none" w:sz="0" w:space="0" w:color="auto"/>
            <w:right w:val="none" w:sz="0" w:space="0" w:color="auto"/>
          </w:divBdr>
          <w:divsChild>
            <w:div w:id="9748753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4381307">
          <w:marLeft w:val="0"/>
          <w:marRight w:val="0"/>
          <w:marTop w:val="0"/>
          <w:marBottom w:val="0"/>
          <w:divBdr>
            <w:top w:val="none" w:sz="0" w:space="0" w:color="auto"/>
            <w:left w:val="none" w:sz="0" w:space="0" w:color="auto"/>
            <w:bottom w:val="none" w:sz="0" w:space="0" w:color="auto"/>
            <w:right w:val="none" w:sz="0" w:space="0" w:color="auto"/>
          </w:divBdr>
          <w:divsChild>
            <w:div w:id="15610907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25063">
      <w:bodyDiv w:val="1"/>
      <w:marLeft w:val="0"/>
      <w:marRight w:val="0"/>
      <w:marTop w:val="0"/>
      <w:marBottom w:val="0"/>
      <w:divBdr>
        <w:top w:val="none" w:sz="0" w:space="0" w:color="auto"/>
        <w:left w:val="none" w:sz="0" w:space="0" w:color="auto"/>
        <w:bottom w:val="none" w:sz="0" w:space="0" w:color="auto"/>
        <w:right w:val="none" w:sz="0" w:space="0" w:color="auto"/>
      </w:divBdr>
      <w:divsChild>
        <w:div w:id="75131700">
          <w:marLeft w:val="0"/>
          <w:marRight w:val="0"/>
          <w:marTop w:val="0"/>
          <w:marBottom w:val="0"/>
          <w:divBdr>
            <w:top w:val="none" w:sz="0" w:space="0" w:color="auto"/>
            <w:left w:val="none" w:sz="0" w:space="0" w:color="auto"/>
            <w:bottom w:val="none" w:sz="0" w:space="0" w:color="auto"/>
            <w:right w:val="none" w:sz="0" w:space="0" w:color="auto"/>
          </w:divBdr>
          <w:divsChild>
            <w:div w:id="566961466">
              <w:marLeft w:val="0"/>
              <w:marRight w:val="0"/>
              <w:marTop w:val="0"/>
              <w:marBottom w:val="0"/>
              <w:divBdr>
                <w:top w:val="single" w:sz="12" w:space="0" w:color="000000"/>
                <w:left w:val="single" w:sz="12" w:space="0" w:color="000000"/>
                <w:bottom w:val="single" w:sz="12" w:space="0" w:color="000000"/>
                <w:right w:val="single" w:sz="12" w:space="0" w:color="000000"/>
              </w:divBdr>
            </w:div>
            <w:div w:id="760685620">
              <w:marLeft w:val="0"/>
              <w:marRight w:val="0"/>
              <w:marTop w:val="0"/>
              <w:marBottom w:val="0"/>
              <w:divBdr>
                <w:top w:val="none" w:sz="0" w:space="0" w:color="auto"/>
                <w:left w:val="none" w:sz="0" w:space="0" w:color="auto"/>
                <w:bottom w:val="none" w:sz="0" w:space="0" w:color="auto"/>
                <w:right w:val="none" w:sz="0" w:space="0" w:color="auto"/>
              </w:divBdr>
            </w:div>
            <w:div w:id="958530841">
              <w:marLeft w:val="0"/>
              <w:marRight w:val="0"/>
              <w:marTop w:val="0"/>
              <w:marBottom w:val="0"/>
              <w:divBdr>
                <w:top w:val="none" w:sz="0" w:space="0" w:color="auto"/>
                <w:left w:val="none" w:sz="0" w:space="0" w:color="auto"/>
                <w:bottom w:val="none" w:sz="0" w:space="0" w:color="auto"/>
                <w:right w:val="none" w:sz="0" w:space="0" w:color="auto"/>
              </w:divBdr>
            </w:div>
          </w:divsChild>
        </w:div>
        <w:div w:id="100036902">
          <w:marLeft w:val="0"/>
          <w:marRight w:val="0"/>
          <w:marTop w:val="0"/>
          <w:marBottom w:val="0"/>
          <w:divBdr>
            <w:top w:val="none" w:sz="0" w:space="0" w:color="auto"/>
            <w:left w:val="none" w:sz="0" w:space="0" w:color="auto"/>
            <w:bottom w:val="none" w:sz="0" w:space="0" w:color="auto"/>
            <w:right w:val="none" w:sz="0" w:space="0" w:color="auto"/>
          </w:divBdr>
          <w:divsChild>
            <w:div w:id="531842455">
              <w:marLeft w:val="0"/>
              <w:marRight w:val="0"/>
              <w:marTop w:val="0"/>
              <w:marBottom w:val="0"/>
              <w:divBdr>
                <w:top w:val="none" w:sz="0" w:space="0" w:color="auto"/>
                <w:left w:val="none" w:sz="0" w:space="0" w:color="auto"/>
                <w:bottom w:val="none" w:sz="0" w:space="0" w:color="auto"/>
                <w:right w:val="none" w:sz="0" w:space="0" w:color="auto"/>
              </w:divBdr>
            </w:div>
            <w:div w:id="11677915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15658929">
          <w:marLeft w:val="0"/>
          <w:marRight w:val="0"/>
          <w:marTop w:val="0"/>
          <w:marBottom w:val="0"/>
          <w:divBdr>
            <w:top w:val="none" w:sz="0" w:space="0" w:color="auto"/>
            <w:left w:val="none" w:sz="0" w:space="0" w:color="auto"/>
            <w:bottom w:val="none" w:sz="0" w:space="0" w:color="auto"/>
            <w:right w:val="none" w:sz="0" w:space="0" w:color="auto"/>
          </w:divBdr>
          <w:divsChild>
            <w:div w:id="150873578">
              <w:marLeft w:val="0"/>
              <w:marRight w:val="0"/>
              <w:marTop w:val="0"/>
              <w:marBottom w:val="0"/>
              <w:divBdr>
                <w:top w:val="single" w:sz="12" w:space="0" w:color="000000"/>
                <w:left w:val="single" w:sz="12" w:space="0" w:color="000000"/>
                <w:bottom w:val="single" w:sz="12" w:space="0" w:color="000000"/>
                <w:right w:val="single" w:sz="12" w:space="0" w:color="000000"/>
              </w:divBdr>
            </w:div>
            <w:div w:id="390230534">
              <w:marLeft w:val="0"/>
              <w:marRight w:val="0"/>
              <w:marTop w:val="0"/>
              <w:marBottom w:val="0"/>
              <w:divBdr>
                <w:top w:val="none" w:sz="0" w:space="0" w:color="auto"/>
                <w:left w:val="none" w:sz="0" w:space="0" w:color="auto"/>
                <w:bottom w:val="none" w:sz="0" w:space="0" w:color="auto"/>
                <w:right w:val="none" w:sz="0" w:space="0" w:color="auto"/>
              </w:divBdr>
            </w:div>
          </w:divsChild>
        </w:div>
        <w:div w:id="574821303">
          <w:marLeft w:val="0"/>
          <w:marRight w:val="0"/>
          <w:marTop w:val="0"/>
          <w:marBottom w:val="0"/>
          <w:divBdr>
            <w:top w:val="none" w:sz="0" w:space="0" w:color="auto"/>
            <w:left w:val="none" w:sz="0" w:space="0" w:color="auto"/>
            <w:bottom w:val="none" w:sz="0" w:space="0" w:color="auto"/>
            <w:right w:val="none" w:sz="0" w:space="0" w:color="auto"/>
          </w:divBdr>
          <w:divsChild>
            <w:div w:id="268975572">
              <w:marLeft w:val="0"/>
              <w:marRight w:val="0"/>
              <w:marTop w:val="0"/>
              <w:marBottom w:val="0"/>
              <w:divBdr>
                <w:top w:val="none" w:sz="0" w:space="0" w:color="auto"/>
                <w:left w:val="none" w:sz="0" w:space="0" w:color="auto"/>
                <w:bottom w:val="none" w:sz="0" w:space="0" w:color="auto"/>
                <w:right w:val="none" w:sz="0" w:space="0" w:color="auto"/>
              </w:divBdr>
            </w:div>
            <w:div w:id="208236947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36614852">
          <w:marLeft w:val="0"/>
          <w:marRight w:val="0"/>
          <w:marTop w:val="0"/>
          <w:marBottom w:val="0"/>
          <w:divBdr>
            <w:top w:val="none" w:sz="0" w:space="0" w:color="auto"/>
            <w:left w:val="none" w:sz="0" w:space="0" w:color="auto"/>
            <w:bottom w:val="none" w:sz="0" w:space="0" w:color="auto"/>
            <w:right w:val="none" w:sz="0" w:space="0" w:color="auto"/>
          </w:divBdr>
          <w:divsChild>
            <w:div w:id="600795769">
              <w:marLeft w:val="0"/>
              <w:marRight w:val="0"/>
              <w:marTop w:val="0"/>
              <w:marBottom w:val="0"/>
              <w:divBdr>
                <w:top w:val="single" w:sz="12" w:space="0" w:color="000000"/>
                <w:left w:val="single" w:sz="12" w:space="0" w:color="000000"/>
                <w:bottom w:val="single" w:sz="12" w:space="0" w:color="000000"/>
                <w:right w:val="single" w:sz="12" w:space="0" w:color="000000"/>
              </w:divBdr>
            </w:div>
            <w:div w:id="1808427430">
              <w:marLeft w:val="0"/>
              <w:marRight w:val="0"/>
              <w:marTop w:val="0"/>
              <w:marBottom w:val="0"/>
              <w:divBdr>
                <w:top w:val="none" w:sz="0" w:space="0" w:color="auto"/>
                <w:left w:val="none" w:sz="0" w:space="0" w:color="auto"/>
                <w:bottom w:val="none" w:sz="0" w:space="0" w:color="auto"/>
                <w:right w:val="none" w:sz="0" w:space="0" w:color="auto"/>
              </w:divBdr>
            </w:div>
          </w:divsChild>
        </w:div>
        <w:div w:id="1245073211">
          <w:marLeft w:val="0"/>
          <w:marRight w:val="0"/>
          <w:marTop w:val="0"/>
          <w:marBottom w:val="0"/>
          <w:divBdr>
            <w:top w:val="none" w:sz="0" w:space="0" w:color="auto"/>
            <w:left w:val="none" w:sz="0" w:space="0" w:color="auto"/>
            <w:bottom w:val="none" w:sz="0" w:space="0" w:color="auto"/>
            <w:right w:val="none" w:sz="0" w:space="0" w:color="auto"/>
          </w:divBdr>
          <w:divsChild>
            <w:div w:id="86464779">
              <w:marLeft w:val="0"/>
              <w:marRight w:val="0"/>
              <w:marTop w:val="0"/>
              <w:marBottom w:val="0"/>
              <w:divBdr>
                <w:top w:val="single" w:sz="12" w:space="0" w:color="000000"/>
                <w:left w:val="single" w:sz="12" w:space="0" w:color="000000"/>
                <w:bottom w:val="single" w:sz="12" w:space="0" w:color="000000"/>
                <w:right w:val="single" w:sz="12" w:space="0" w:color="000000"/>
              </w:divBdr>
            </w:div>
            <w:div w:id="187915783">
              <w:marLeft w:val="0"/>
              <w:marRight w:val="0"/>
              <w:marTop w:val="0"/>
              <w:marBottom w:val="0"/>
              <w:divBdr>
                <w:top w:val="none" w:sz="0" w:space="0" w:color="auto"/>
                <w:left w:val="none" w:sz="0" w:space="0" w:color="auto"/>
                <w:bottom w:val="none" w:sz="0" w:space="0" w:color="auto"/>
                <w:right w:val="none" w:sz="0" w:space="0" w:color="auto"/>
              </w:divBdr>
            </w:div>
            <w:div w:id="1589657384">
              <w:marLeft w:val="0"/>
              <w:marRight w:val="0"/>
              <w:marTop w:val="0"/>
              <w:marBottom w:val="0"/>
              <w:divBdr>
                <w:top w:val="none" w:sz="0" w:space="0" w:color="auto"/>
                <w:left w:val="none" w:sz="0" w:space="0" w:color="auto"/>
                <w:bottom w:val="none" w:sz="0" w:space="0" w:color="auto"/>
                <w:right w:val="none" w:sz="0" w:space="0" w:color="auto"/>
              </w:divBdr>
            </w:div>
          </w:divsChild>
        </w:div>
        <w:div w:id="1586570361">
          <w:marLeft w:val="0"/>
          <w:marRight w:val="0"/>
          <w:marTop w:val="0"/>
          <w:marBottom w:val="0"/>
          <w:divBdr>
            <w:top w:val="none" w:sz="0" w:space="0" w:color="auto"/>
            <w:left w:val="none" w:sz="0" w:space="0" w:color="auto"/>
            <w:bottom w:val="none" w:sz="0" w:space="0" w:color="auto"/>
            <w:right w:val="none" w:sz="0" w:space="0" w:color="auto"/>
          </w:divBdr>
          <w:divsChild>
            <w:div w:id="1236160640">
              <w:marLeft w:val="0"/>
              <w:marRight w:val="0"/>
              <w:marTop w:val="0"/>
              <w:marBottom w:val="0"/>
              <w:divBdr>
                <w:top w:val="single" w:sz="12" w:space="0" w:color="000000"/>
                <w:left w:val="single" w:sz="12" w:space="0" w:color="000000"/>
                <w:bottom w:val="single" w:sz="12" w:space="0" w:color="000000"/>
                <w:right w:val="single" w:sz="12" w:space="0" w:color="000000"/>
              </w:divBdr>
            </w:div>
            <w:div w:id="1255363448">
              <w:marLeft w:val="0"/>
              <w:marRight w:val="0"/>
              <w:marTop w:val="0"/>
              <w:marBottom w:val="0"/>
              <w:divBdr>
                <w:top w:val="none" w:sz="0" w:space="0" w:color="auto"/>
                <w:left w:val="none" w:sz="0" w:space="0" w:color="auto"/>
                <w:bottom w:val="none" w:sz="0" w:space="0" w:color="auto"/>
                <w:right w:val="none" w:sz="0" w:space="0" w:color="auto"/>
              </w:divBdr>
            </w:div>
          </w:divsChild>
        </w:div>
        <w:div w:id="1656909536">
          <w:marLeft w:val="0"/>
          <w:marRight w:val="0"/>
          <w:marTop w:val="0"/>
          <w:marBottom w:val="0"/>
          <w:divBdr>
            <w:top w:val="none" w:sz="0" w:space="0" w:color="auto"/>
            <w:left w:val="none" w:sz="0" w:space="0" w:color="auto"/>
            <w:bottom w:val="none" w:sz="0" w:space="0" w:color="auto"/>
            <w:right w:val="none" w:sz="0" w:space="0" w:color="auto"/>
          </w:divBdr>
          <w:divsChild>
            <w:div w:id="670719638">
              <w:marLeft w:val="0"/>
              <w:marRight w:val="0"/>
              <w:marTop w:val="0"/>
              <w:marBottom w:val="0"/>
              <w:divBdr>
                <w:top w:val="none" w:sz="0" w:space="0" w:color="auto"/>
                <w:left w:val="none" w:sz="0" w:space="0" w:color="auto"/>
                <w:bottom w:val="none" w:sz="0" w:space="0" w:color="auto"/>
                <w:right w:val="none" w:sz="0" w:space="0" w:color="auto"/>
              </w:divBdr>
            </w:div>
            <w:div w:id="10221242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6619443">
          <w:marLeft w:val="0"/>
          <w:marRight w:val="0"/>
          <w:marTop w:val="0"/>
          <w:marBottom w:val="0"/>
          <w:divBdr>
            <w:top w:val="none" w:sz="0" w:space="0" w:color="auto"/>
            <w:left w:val="none" w:sz="0" w:space="0" w:color="auto"/>
            <w:bottom w:val="none" w:sz="0" w:space="0" w:color="auto"/>
            <w:right w:val="none" w:sz="0" w:space="0" w:color="auto"/>
          </w:divBdr>
          <w:divsChild>
            <w:div w:id="983973612">
              <w:marLeft w:val="0"/>
              <w:marRight w:val="0"/>
              <w:marTop w:val="0"/>
              <w:marBottom w:val="0"/>
              <w:divBdr>
                <w:top w:val="single" w:sz="12" w:space="0" w:color="000000"/>
                <w:left w:val="single" w:sz="12" w:space="0" w:color="000000"/>
                <w:bottom w:val="single" w:sz="12" w:space="0" w:color="000000"/>
                <w:right w:val="single" w:sz="12" w:space="0" w:color="000000"/>
              </w:divBdr>
            </w:div>
            <w:div w:id="1344016113">
              <w:marLeft w:val="0"/>
              <w:marRight w:val="0"/>
              <w:marTop w:val="0"/>
              <w:marBottom w:val="0"/>
              <w:divBdr>
                <w:top w:val="none" w:sz="0" w:space="0" w:color="auto"/>
                <w:left w:val="none" w:sz="0" w:space="0" w:color="auto"/>
                <w:bottom w:val="none" w:sz="0" w:space="0" w:color="auto"/>
                <w:right w:val="none" w:sz="0" w:space="0" w:color="auto"/>
              </w:divBdr>
            </w:div>
          </w:divsChild>
        </w:div>
        <w:div w:id="2018916963">
          <w:marLeft w:val="0"/>
          <w:marRight w:val="0"/>
          <w:marTop w:val="0"/>
          <w:marBottom w:val="0"/>
          <w:divBdr>
            <w:top w:val="none" w:sz="0" w:space="0" w:color="auto"/>
            <w:left w:val="none" w:sz="0" w:space="0" w:color="auto"/>
            <w:bottom w:val="none" w:sz="0" w:space="0" w:color="auto"/>
            <w:right w:val="none" w:sz="0" w:space="0" w:color="auto"/>
          </w:divBdr>
          <w:divsChild>
            <w:div w:id="225385253">
              <w:marLeft w:val="0"/>
              <w:marRight w:val="0"/>
              <w:marTop w:val="0"/>
              <w:marBottom w:val="0"/>
              <w:divBdr>
                <w:top w:val="none" w:sz="0" w:space="0" w:color="auto"/>
                <w:left w:val="none" w:sz="0" w:space="0" w:color="auto"/>
                <w:bottom w:val="none" w:sz="0" w:space="0" w:color="auto"/>
                <w:right w:val="none" w:sz="0" w:space="0" w:color="auto"/>
              </w:divBdr>
            </w:div>
            <w:div w:id="543642497">
              <w:marLeft w:val="0"/>
              <w:marRight w:val="0"/>
              <w:marTop w:val="0"/>
              <w:marBottom w:val="0"/>
              <w:divBdr>
                <w:top w:val="single" w:sz="12" w:space="0" w:color="000000"/>
                <w:left w:val="single" w:sz="12" w:space="0" w:color="000000"/>
                <w:bottom w:val="single" w:sz="12" w:space="0" w:color="000000"/>
                <w:right w:val="single" w:sz="12" w:space="0" w:color="000000"/>
              </w:divBdr>
            </w:div>
            <w:div w:id="169472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49929">
      <w:bodyDiv w:val="1"/>
      <w:marLeft w:val="0"/>
      <w:marRight w:val="0"/>
      <w:marTop w:val="0"/>
      <w:marBottom w:val="0"/>
      <w:divBdr>
        <w:top w:val="none" w:sz="0" w:space="0" w:color="auto"/>
        <w:left w:val="none" w:sz="0" w:space="0" w:color="auto"/>
        <w:bottom w:val="none" w:sz="0" w:space="0" w:color="auto"/>
        <w:right w:val="none" w:sz="0" w:space="0" w:color="auto"/>
      </w:divBdr>
      <w:divsChild>
        <w:div w:id="705715549">
          <w:marLeft w:val="0"/>
          <w:marRight w:val="0"/>
          <w:marTop w:val="0"/>
          <w:marBottom w:val="0"/>
          <w:divBdr>
            <w:top w:val="none" w:sz="0" w:space="0" w:color="auto"/>
            <w:left w:val="none" w:sz="0" w:space="0" w:color="auto"/>
            <w:bottom w:val="none" w:sz="0" w:space="0" w:color="auto"/>
            <w:right w:val="none" w:sz="0" w:space="0" w:color="auto"/>
          </w:divBdr>
          <w:divsChild>
            <w:div w:id="111559659">
              <w:marLeft w:val="0"/>
              <w:marRight w:val="0"/>
              <w:marTop w:val="0"/>
              <w:marBottom w:val="0"/>
              <w:divBdr>
                <w:top w:val="none" w:sz="0" w:space="0" w:color="auto"/>
                <w:left w:val="none" w:sz="0" w:space="0" w:color="auto"/>
                <w:bottom w:val="none" w:sz="0" w:space="0" w:color="auto"/>
                <w:right w:val="none" w:sz="0" w:space="0" w:color="auto"/>
              </w:divBdr>
            </w:div>
            <w:div w:id="6586585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14849881">
          <w:marLeft w:val="0"/>
          <w:marRight w:val="0"/>
          <w:marTop w:val="0"/>
          <w:marBottom w:val="0"/>
          <w:divBdr>
            <w:top w:val="none" w:sz="0" w:space="0" w:color="auto"/>
            <w:left w:val="none" w:sz="0" w:space="0" w:color="auto"/>
            <w:bottom w:val="none" w:sz="0" w:space="0" w:color="auto"/>
            <w:right w:val="none" w:sz="0" w:space="0" w:color="auto"/>
          </w:divBdr>
          <w:divsChild>
            <w:div w:id="15025006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4988915">
          <w:marLeft w:val="0"/>
          <w:marRight w:val="0"/>
          <w:marTop w:val="0"/>
          <w:marBottom w:val="0"/>
          <w:divBdr>
            <w:top w:val="none" w:sz="0" w:space="0" w:color="auto"/>
            <w:left w:val="none" w:sz="0" w:space="0" w:color="auto"/>
            <w:bottom w:val="none" w:sz="0" w:space="0" w:color="auto"/>
            <w:right w:val="none" w:sz="0" w:space="0" w:color="auto"/>
          </w:divBdr>
          <w:divsChild>
            <w:div w:id="13339964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7488147">
          <w:marLeft w:val="0"/>
          <w:marRight w:val="0"/>
          <w:marTop w:val="0"/>
          <w:marBottom w:val="0"/>
          <w:divBdr>
            <w:top w:val="none" w:sz="0" w:space="0" w:color="auto"/>
            <w:left w:val="none" w:sz="0" w:space="0" w:color="auto"/>
            <w:bottom w:val="none" w:sz="0" w:space="0" w:color="auto"/>
            <w:right w:val="none" w:sz="0" w:space="0" w:color="auto"/>
          </w:divBdr>
          <w:divsChild>
            <w:div w:id="6931917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16463232">
      <w:bodyDiv w:val="1"/>
      <w:marLeft w:val="0"/>
      <w:marRight w:val="0"/>
      <w:marTop w:val="30"/>
      <w:marBottom w:val="750"/>
      <w:divBdr>
        <w:top w:val="none" w:sz="0" w:space="0" w:color="auto"/>
        <w:left w:val="none" w:sz="0" w:space="0" w:color="auto"/>
        <w:bottom w:val="none" w:sz="0" w:space="0" w:color="auto"/>
        <w:right w:val="none" w:sz="0" w:space="0" w:color="auto"/>
      </w:divBdr>
      <w:divsChild>
        <w:div w:id="442117182">
          <w:marLeft w:val="0"/>
          <w:marRight w:val="0"/>
          <w:marTop w:val="0"/>
          <w:marBottom w:val="0"/>
          <w:divBdr>
            <w:top w:val="none" w:sz="0" w:space="0" w:color="auto"/>
            <w:left w:val="none" w:sz="0" w:space="0" w:color="auto"/>
            <w:bottom w:val="none" w:sz="0" w:space="0" w:color="auto"/>
            <w:right w:val="none" w:sz="0" w:space="0" w:color="auto"/>
          </w:divBdr>
          <w:divsChild>
            <w:div w:id="426271738">
              <w:marLeft w:val="0"/>
              <w:marRight w:val="0"/>
              <w:marTop w:val="0"/>
              <w:marBottom w:val="0"/>
              <w:divBdr>
                <w:top w:val="none" w:sz="0" w:space="0" w:color="auto"/>
                <w:left w:val="none" w:sz="0" w:space="0" w:color="auto"/>
                <w:bottom w:val="none" w:sz="0" w:space="0" w:color="auto"/>
                <w:right w:val="none" w:sz="0" w:space="0" w:color="auto"/>
              </w:divBdr>
            </w:div>
            <w:div w:id="262299167">
              <w:marLeft w:val="0"/>
              <w:marRight w:val="0"/>
              <w:marTop w:val="0"/>
              <w:marBottom w:val="0"/>
              <w:divBdr>
                <w:top w:val="none" w:sz="0" w:space="0" w:color="auto"/>
                <w:left w:val="none" w:sz="0" w:space="0" w:color="auto"/>
                <w:bottom w:val="none" w:sz="0" w:space="0" w:color="auto"/>
                <w:right w:val="none" w:sz="0" w:space="0" w:color="auto"/>
              </w:divBdr>
            </w:div>
            <w:div w:id="1596019126">
              <w:marLeft w:val="0"/>
              <w:marRight w:val="0"/>
              <w:marTop w:val="0"/>
              <w:marBottom w:val="0"/>
              <w:divBdr>
                <w:top w:val="none" w:sz="0" w:space="0" w:color="auto"/>
                <w:left w:val="none" w:sz="0" w:space="0" w:color="auto"/>
                <w:bottom w:val="none" w:sz="0" w:space="0" w:color="auto"/>
                <w:right w:val="none" w:sz="0" w:space="0" w:color="auto"/>
              </w:divBdr>
            </w:div>
            <w:div w:id="1320188043">
              <w:marLeft w:val="0"/>
              <w:marRight w:val="0"/>
              <w:marTop w:val="0"/>
              <w:marBottom w:val="0"/>
              <w:divBdr>
                <w:top w:val="none" w:sz="0" w:space="0" w:color="auto"/>
                <w:left w:val="none" w:sz="0" w:space="0" w:color="auto"/>
                <w:bottom w:val="none" w:sz="0" w:space="0" w:color="auto"/>
                <w:right w:val="none" w:sz="0" w:space="0" w:color="auto"/>
              </w:divBdr>
            </w:div>
            <w:div w:id="304161746">
              <w:marLeft w:val="0"/>
              <w:marRight w:val="0"/>
              <w:marTop w:val="0"/>
              <w:marBottom w:val="0"/>
              <w:divBdr>
                <w:top w:val="none" w:sz="0" w:space="0" w:color="auto"/>
                <w:left w:val="none" w:sz="0" w:space="0" w:color="auto"/>
                <w:bottom w:val="none" w:sz="0" w:space="0" w:color="auto"/>
                <w:right w:val="none" w:sz="0" w:space="0" w:color="auto"/>
              </w:divBdr>
            </w:div>
            <w:div w:id="1290166304">
              <w:marLeft w:val="0"/>
              <w:marRight w:val="0"/>
              <w:marTop w:val="0"/>
              <w:marBottom w:val="0"/>
              <w:divBdr>
                <w:top w:val="none" w:sz="0" w:space="0" w:color="auto"/>
                <w:left w:val="none" w:sz="0" w:space="0" w:color="auto"/>
                <w:bottom w:val="none" w:sz="0" w:space="0" w:color="auto"/>
                <w:right w:val="none" w:sz="0" w:space="0" w:color="auto"/>
              </w:divBdr>
            </w:div>
            <w:div w:id="1657412906">
              <w:marLeft w:val="0"/>
              <w:marRight w:val="0"/>
              <w:marTop w:val="0"/>
              <w:marBottom w:val="0"/>
              <w:divBdr>
                <w:top w:val="none" w:sz="0" w:space="0" w:color="auto"/>
                <w:left w:val="none" w:sz="0" w:space="0" w:color="auto"/>
                <w:bottom w:val="none" w:sz="0" w:space="0" w:color="auto"/>
                <w:right w:val="none" w:sz="0" w:space="0" w:color="auto"/>
              </w:divBdr>
            </w:div>
            <w:div w:id="1666008423">
              <w:marLeft w:val="0"/>
              <w:marRight w:val="0"/>
              <w:marTop w:val="0"/>
              <w:marBottom w:val="0"/>
              <w:divBdr>
                <w:top w:val="none" w:sz="0" w:space="0" w:color="auto"/>
                <w:left w:val="none" w:sz="0" w:space="0" w:color="auto"/>
                <w:bottom w:val="none" w:sz="0" w:space="0" w:color="auto"/>
                <w:right w:val="none" w:sz="0" w:space="0" w:color="auto"/>
              </w:divBdr>
            </w:div>
            <w:div w:id="355160388">
              <w:marLeft w:val="0"/>
              <w:marRight w:val="0"/>
              <w:marTop w:val="0"/>
              <w:marBottom w:val="0"/>
              <w:divBdr>
                <w:top w:val="none" w:sz="0" w:space="0" w:color="auto"/>
                <w:left w:val="none" w:sz="0" w:space="0" w:color="auto"/>
                <w:bottom w:val="none" w:sz="0" w:space="0" w:color="auto"/>
                <w:right w:val="none" w:sz="0" w:space="0" w:color="auto"/>
              </w:divBdr>
            </w:div>
            <w:div w:id="1059522637">
              <w:marLeft w:val="0"/>
              <w:marRight w:val="0"/>
              <w:marTop w:val="0"/>
              <w:marBottom w:val="0"/>
              <w:divBdr>
                <w:top w:val="none" w:sz="0" w:space="0" w:color="auto"/>
                <w:left w:val="none" w:sz="0" w:space="0" w:color="auto"/>
                <w:bottom w:val="none" w:sz="0" w:space="0" w:color="auto"/>
                <w:right w:val="none" w:sz="0" w:space="0" w:color="auto"/>
              </w:divBdr>
            </w:div>
            <w:div w:id="253439569">
              <w:marLeft w:val="0"/>
              <w:marRight w:val="0"/>
              <w:marTop w:val="0"/>
              <w:marBottom w:val="0"/>
              <w:divBdr>
                <w:top w:val="none" w:sz="0" w:space="0" w:color="auto"/>
                <w:left w:val="none" w:sz="0" w:space="0" w:color="auto"/>
                <w:bottom w:val="none" w:sz="0" w:space="0" w:color="auto"/>
                <w:right w:val="none" w:sz="0" w:space="0" w:color="auto"/>
              </w:divBdr>
            </w:div>
            <w:div w:id="1543519686">
              <w:marLeft w:val="0"/>
              <w:marRight w:val="0"/>
              <w:marTop w:val="0"/>
              <w:marBottom w:val="0"/>
              <w:divBdr>
                <w:top w:val="none" w:sz="0" w:space="0" w:color="auto"/>
                <w:left w:val="none" w:sz="0" w:space="0" w:color="auto"/>
                <w:bottom w:val="none" w:sz="0" w:space="0" w:color="auto"/>
                <w:right w:val="none" w:sz="0" w:space="0" w:color="auto"/>
              </w:divBdr>
            </w:div>
            <w:div w:id="1629315830">
              <w:marLeft w:val="0"/>
              <w:marRight w:val="0"/>
              <w:marTop w:val="0"/>
              <w:marBottom w:val="0"/>
              <w:divBdr>
                <w:top w:val="none" w:sz="0" w:space="0" w:color="auto"/>
                <w:left w:val="none" w:sz="0" w:space="0" w:color="auto"/>
                <w:bottom w:val="none" w:sz="0" w:space="0" w:color="auto"/>
                <w:right w:val="none" w:sz="0" w:space="0" w:color="auto"/>
              </w:divBdr>
            </w:div>
            <w:div w:id="701318891">
              <w:marLeft w:val="0"/>
              <w:marRight w:val="0"/>
              <w:marTop w:val="0"/>
              <w:marBottom w:val="0"/>
              <w:divBdr>
                <w:top w:val="none" w:sz="0" w:space="0" w:color="auto"/>
                <w:left w:val="none" w:sz="0" w:space="0" w:color="auto"/>
                <w:bottom w:val="none" w:sz="0" w:space="0" w:color="auto"/>
                <w:right w:val="none" w:sz="0" w:space="0" w:color="auto"/>
              </w:divBdr>
            </w:div>
            <w:div w:id="1101534615">
              <w:marLeft w:val="0"/>
              <w:marRight w:val="0"/>
              <w:marTop w:val="0"/>
              <w:marBottom w:val="0"/>
              <w:divBdr>
                <w:top w:val="none" w:sz="0" w:space="0" w:color="auto"/>
                <w:left w:val="none" w:sz="0" w:space="0" w:color="auto"/>
                <w:bottom w:val="none" w:sz="0" w:space="0" w:color="auto"/>
                <w:right w:val="none" w:sz="0" w:space="0" w:color="auto"/>
              </w:divBdr>
            </w:div>
            <w:div w:id="1327594590">
              <w:marLeft w:val="0"/>
              <w:marRight w:val="0"/>
              <w:marTop w:val="0"/>
              <w:marBottom w:val="0"/>
              <w:divBdr>
                <w:top w:val="none" w:sz="0" w:space="0" w:color="auto"/>
                <w:left w:val="none" w:sz="0" w:space="0" w:color="auto"/>
                <w:bottom w:val="none" w:sz="0" w:space="0" w:color="auto"/>
                <w:right w:val="none" w:sz="0" w:space="0" w:color="auto"/>
              </w:divBdr>
            </w:div>
            <w:div w:id="1579558650">
              <w:marLeft w:val="0"/>
              <w:marRight w:val="0"/>
              <w:marTop w:val="0"/>
              <w:marBottom w:val="0"/>
              <w:divBdr>
                <w:top w:val="none" w:sz="0" w:space="0" w:color="auto"/>
                <w:left w:val="none" w:sz="0" w:space="0" w:color="auto"/>
                <w:bottom w:val="none" w:sz="0" w:space="0" w:color="auto"/>
                <w:right w:val="none" w:sz="0" w:space="0" w:color="auto"/>
              </w:divBdr>
            </w:div>
            <w:div w:id="1365790722">
              <w:marLeft w:val="0"/>
              <w:marRight w:val="0"/>
              <w:marTop w:val="0"/>
              <w:marBottom w:val="0"/>
              <w:divBdr>
                <w:top w:val="none" w:sz="0" w:space="0" w:color="auto"/>
                <w:left w:val="none" w:sz="0" w:space="0" w:color="auto"/>
                <w:bottom w:val="none" w:sz="0" w:space="0" w:color="auto"/>
                <w:right w:val="none" w:sz="0" w:space="0" w:color="auto"/>
              </w:divBdr>
            </w:div>
            <w:div w:id="81532148">
              <w:marLeft w:val="0"/>
              <w:marRight w:val="0"/>
              <w:marTop w:val="0"/>
              <w:marBottom w:val="0"/>
              <w:divBdr>
                <w:top w:val="none" w:sz="0" w:space="0" w:color="auto"/>
                <w:left w:val="none" w:sz="0" w:space="0" w:color="auto"/>
                <w:bottom w:val="none" w:sz="0" w:space="0" w:color="auto"/>
                <w:right w:val="none" w:sz="0" w:space="0" w:color="auto"/>
              </w:divBdr>
            </w:div>
            <w:div w:id="1874153955">
              <w:marLeft w:val="0"/>
              <w:marRight w:val="0"/>
              <w:marTop w:val="0"/>
              <w:marBottom w:val="0"/>
              <w:divBdr>
                <w:top w:val="none" w:sz="0" w:space="0" w:color="auto"/>
                <w:left w:val="none" w:sz="0" w:space="0" w:color="auto"/>
                <w:bottom w:val="none" w:sz="0" w:space="0" w:color="auto"/>
                <w:right w:val="none" w:sz="0" w:space="0" w:color="auto"/>
              </w:divBdr>
            </w:div>
            <w:div w:id="62459202">
              <w:marLeft w:val="0"/>
              <w:marRight w:val="0"/>
              <w:marTop w:val="0"/>
              <w:marBottom w:val="0"/>
              <w:divBdr>
                <w:top w:val="none" w:sz="0" w:space="0" w:color="auto"/>
                <w:left w:val="none" w:sz="0" w:space="0" w:color="auto"/>
                <w:bottom w:val="none" w:sz="0" w:space="0" w:color="auto"/>
                <w:right w:val="none" w:sz="0" w:space="0" w:color="auto"/>
              </w:divBdr>
            </w:div>
            <w:div w:id="971250466">
              <w:marLeft w:val="0"/>
              <w:marRight w:val="0"/>
              <w:marTop w:val="0"/>
              <w:marBottom w:val="0"/>
              <w:divBdr>
                <w:top w:val="none" w:sz="0" w:space="0" w:color="auto"/>
                <w:left w:val="none" w:sz="0" w:space="0" w:color="auto"/>
                <w:bottom w:val="none" w:sz="0" w:space="0" w:color="auto"/>
                <w:right w:val="none" w:sz="0" w:space="0" w:color="auto"/>
              </w:divBdr>
            </w:div>
            <w:div w:id="1777169881">
              <w:marLeft w:val="0"/>
              <w:marRight w:val="0"/>
              <w:marTop w:val="0"/>
              <w:marBottom w:val="0"/>
              <w:divBdr>
                <w:top w:val="none" w:sz="0" w:space="0" w:color="auto"/>
                <w:left w:val="none" w:sz="0" w:space="0" w:color="auto"/>
                <w:bottom w:val="none" w:sz="0" w:space="0" w:color="auto"/>
                <w:right w:val="none" w:sz="0" w:space="0" w:color="auto"/>
              </w:divBdr>
            </w:div>
            <w:div w:id="1010765400">
              <w:marLeft w:val="0"/>
              <w:marRight w:val="0"/>
              <w:marTop w:val="0"/>
              <w:marBottom w:val="0"/>
              <w:divBdr>
                <w:top w:val="none" w:sz="0" w:space="0" w:color="auto"/>
                <w:left w:val="none" w:sz="0" w:space="0" w:color="auto"/>
                <w:bottom w:val="none" w:sz="0" w:space="0" w:color="auto"/>
                <w:right w:val="none" w:sz="0" w:space="0" w:color="auto"/>
              </w:divBdr>
            </w:div>
            <w:div w:id="1349794572">
              <w:marLeft w:val="0"/>
              <w:marRight w:val="0"/>
              <w:marTop w:val="0"/>
              <w:marBottom w:val="0"/>
              <w:divBdr>
                <w:top w:val="none" w:sz="0" w:space="0" w:color="auto"/>
                <w:left w:val="none" w:sz="0" w:space="0" w:color="auto"/>
                <w:bottom w:val="none" w:sz="0" w:space="0" w:color="auto"/>
                <w:right w:val="none" w:sz="0" w:space="0" w:color="auto"/>
              </w:divBdr>
            </w:div>
            <w:div w:id="1205752649">
              <w:marLeft w:val="0"/>
              <w:marRight w:val="0"/>
              <w:marTop w:val="0"/>
              <w:marBottom w:val="0"/>
              <w:divBdr>
                <w:top w:val="none" w:sz="0" w:space="0" w:color="auto"/>
                <w:left w:val="none" w:sz="0" w:space="0" w:color="auto"/>
                <w:bottom w:val="none" w:sz="0" w:space="0" w:color="auto"/>
                <w:right w:val="none" w:sz="0" w:space="0" w:color="auto"/>
              </w:divBdr>
            </w:div>
            <w:div w:id="1197498210">
              <w:marLeft w:val="0"/>
              <w:marRight w:val="0"/>
              <w:marTop w:val="0"/>
              <w:marBottom w:val="0"/>
              <w:divBdr>
                <w:top w:val="none" w:sz="0" w:space="0" w:color="auto"/>
                <w:left w:val="none" w:sz="0" w:space="0" w:color="auto"/>
                <w:bottom w:val="none" w:sz="0" w:space="0" w:color="auto"/>
                <w:right w:val="none" w:sz="0" w:space="0" w:color="auto"/>
              </w:divBdr>
            </w:div>
            <w:div w:id="1673683639">
              <w:marLeft w:val="0"/>
              <w:marRight w:val="0"/>
              <w:marTop w:val="0"/>
              <w:marBottom w:val="0"/>
              <w:divBdr>
                <w:top w:val="none" w:sz="0" w:space="0" w:color="auto"/>
                <w:left w:val="none" w:sz="0" w:space="0" w:color="auto"/>
                <w:bottom w:val="none" w:sz="0" w:space="0" w:color="auto"/>
                <w:right w:val="none" w:sz="0" w:space="0" w:color="auto"/>
              </w:divBdr>
            </w:div>
            <w:div w:id="422607397">
              <w:marLeft w:val="0"/>
              <w:marRight w:val="0"/>
              <w:marTop w:val="0"/>
              <w:marBottom w:val="0"/>
              <w:divBdr>
                <w:top w:val="none" w:sz="0" w:space="0" w:color="auto"/>
                <w:left w:val="none" w:sz="0" w:space="0" w:color="auto"/>
                <w:bottom w:val="none" w:sz="0" w:space="0" w:color="auto"/>
                <w:right w:val="none" w:sz="0" w:space="0" w:color="auto"/>
              </w:divBdr>
            </w:div>
            <w:div w:id="102193380">
              <w:marLeft w:val="0"/>
              <w:marRight w:val="0"/>
              <w:marTop w:val="0"/>
              <w:marBottom w:val="0"/>
              <w:divBdr>
                <w:top w:val="none" w:sz="0" w:space="0" w:color="auto"/>
                <w:left w:val="none" w:sz="0" w:space="0" w:color="auto"/>
                <w:bottom w:val="none" w:sz="0" w:space="0" w:color="auto"/>
                <w:right w:val="none" w:sz="0" w:space="0" w:color="auto"/>
              </w:divBdr>
            </w:div>
            <w:div w:id="1019890946">
              <w:marLeft w:val="0"/>
              <w:marRight w:val="0"/>
              <w:marTop w:val="0"/>
              <w:marBottom w:val="0"/>
              <w:divBdr>
                <w:top w:val="none" w:sz="0" w:space="0" w:color="auto"/>
                <w:left w:val="none" w:sz="0" w:space="0" w:color="auto"/>
                <w:bottom w:val="none" w:sz="0" w:space="0" w:color="auto"/>
                <w:right w:val="none" w:sz="0" w:space="0" w:color="auto"/>
              </w:divBdr>
            </w:div>
            <w:div w:id="1832721015">
              <w:marLeft w:val="0"/>
              <w:marRight w:val="0"/>
              <w:marTop w:val="0"/>
              <w:marBottom w:val="0"/>
              <w:divBdr>
                <w:top w:val="none" w:sz="0" w:space="0" w:color="auto"/>
                <w:left w:val="none" w:sz="0" w:space="0" w:color="auto"/>
                <w:bottom w:val="none" w:sz="0" w:space="0" w:color="auto"/>
                <w:right w:val="none" w:sz="0" w:space="0" w:color="auto"/>
              </w:divBdr>
            </w:div>
            <w:div w:id="1701588904">
              <w:marLeft w:val="0"/>
              <w:marRight w:val="0"/>
              <w:marTop w:val="0"/>
              <w:marBottom w:val="0"/>
              <w:divBdr>
                <w:top w:val="none" w:sz="0" w:space="0" w:color="auto"/>
                <w:left w:val="none" w:sz="0" w:space="0" w:color="auto"/>
                <w:bottom w:val="none" w:sz="0" w:space="0" w:color="auto"/>
                <w:right w:val="none" w:sz="0" w:space="0" w:color="auto"/>
              </w:divBdr>
            </w:div>
            <w:div w:id="1242636195">
              <w:marLeft w:val="0"/>
              <w:marRight w:val="0"/>
              <w:marTop w:val="0"/>
              <w:marBottom w:val="0"/>
              <w:divBdr>
                <w:top w:val="none" w:sz="0" w:space="0" w:color="auto"/>
                <w:left w:val="none" w:sz="0" w:space="0" w:color="auto"/>
                <w:bottom w:val="none" w:sz="0" w:space="0" w:color="auto"/>
                <w:right w:val="none" w:sz="0" w:space="0" w:color="auto"/>
              </w:divBdr>
            </w:div>
            <w:div w:id="1127703160">
              <w:marLeft w:val="0"/>
              <w:marRight w:val="0"/>
              <w:marTop w:val="0"/>
              <w:marBottom w:val="0"/>
              <w:divBdr>
                <w:top w:val="none" w:sz="0" w:space="0" w:color="auto"/>
                <w:left w:val="none" w:sz="0" w:space="0" w:color="auto"/>
                <w:bottom w:val="none" w:sz="0" w:space="0" w:color="auto"/>
                <w:right w:val="none" w:sz="0" w:space="0" w:color="auto"/>
              </w:divBdr>
            </w:div>
            <w:div w:id="893345619">
              <w:marLeft w:val="0"/>
              <w:marRight w:val="0"/>
              <w:marTop w:val="0"/>
              <w:marBottom w:val="0"/>
              <w:divBdr>
                <w:top w:val="none" w:sz="0" w:space="0" w:color="auto"/>
                <w:left w:val="none" w:sz="0" w:space="0" w:color="auto"/>
                <w:bottom w:val="none" w:sz="0" w:space="0" w:color="auto"/>
                <w:right w:val="none" w:sz="0" w:space="0" w:color="auto"/>
              </w:divBdr>
            </w:div>
            <w:div w:id="118035567">
              <w:marLeft w:val="0"/>
              <w:marRight w:val="0"/>
              <w:marTop w:val="0"/>
              <w:marBottom w:val="0"/>
              <w:divBdr>
                <w:top w:val="none" w:sz="0" w:space="0" w:color="auto"/>
                <w:left w:val="none" w:sz="0" w:space="0" w:color="auto"/>
                <w:bottom w:val="none" w:sz="0" w:space="0" w:color="auto"/>
                <w:right w:val="none" w:sz="0" w:space="0" w:color="auto"/>
              </w:divBdr>
            </w:div>
            <w:div w:id="2083213557">
              <w:marLeft w:val="0"/>
              <w:marRight w:val="0"/>
              <w:marTop w:val="0"/>
              <w:marBottom w:val="0"/>
              <w:divBdr>
                <w:top w:val="none" w:sz="0" w:space="0" w:color="auto"/>
                <w:left w:val="none" w:sz="0" w:space="0" w:color="auto"/>
                <w:bottom w:val="none" w:sz="0" w:space="0" w:color="auto"/>
                <w:right w:val="none" w:sz="0" w:space="0" w:color="auto"/>
              </w:divBdr>
            </w:div>
            <w:div w:id="2019767257">
              <w:marLeft w:val="0"/>
              <w:marRight w:val="0"/>
              <w:marTop w:val="0"/>
              <w:marBottom w:val="0"/>
              <w:divBdr>
                <w:top w:val="none" w:sz="0" w:space="0" w:color="auto"/>
                <w:left w:val="none" w:sz="0" w:space="0" w:color="auto"/>
                <w:bottom w:val="none" w:sz="0" w:space="0" w:color="auto"/>
                <w:right w:val="none" w:sz="0" w:space="0" w:color="auto"/>
              </w:divBdr>
            </w:div>
            <w:div w:id="440343401">
              <w:marLeft w:val="0"/>
              <w:marRight w:val="0"/>
              <w:marTop w:val="0"/>
              <w:marBottom w:val="0"/>
              <w:divBdr>
                <w:top w:val="none" w:sz="0" w:space="0" w:color="auto"/>
                <w:left w:val="none" w:sz="0" w:space="0" w:color="auto"/>
                <w:bottom w:val="none" w:sz="0" w:space="0" w:color="auto"/>
                <w:right w:val="none" w:sz="0" w:space="0" w:color="auto"/>
              </w:divBdr>
            </w:div>
            <w:div w:id="564683789">
              <w:marLeft w:val="0"/>
              <w:marRight w:val="0"/>
              <w:marTop w:val="0"/>
              <w:marBottom w:val="0"/>
              <w:divBdr>
                <w:top w:val="none" w:sz="0" w:space="0" w:color="auto"/>
                <w:left w:val="none" w:sz="0" w:space="0" w:color="auto"/>
                <w:bottom w:val="none" w:sz="0" w:space="0" w:color="auto"/>
                <w:right w:val="none" w:sz="0" w:space="0" w:color="auto"/>
              </w:divBdr>
            </w:div>
            <w:div w:id="2011057326">
              <w:marLeft w:val="0"/>
              <w:marRight w:val="0"/>
              <w:marTop w:val="0"/>
              <w:marBottom w:val="0"/>
              <w:divBdr>
                <w:top w:val="none" w:sz="0" w:space="0" w:color="auto"/>
                <w:left w:val="none" w:sz="0" w:space="0" w:color="auto"/>
                <w:bottom w:val="none" w:sz="0" w:space="0" w:color="auto"/>
                <w:right w:val="none" w:sz="0" w:space="0" w:color="auto"/>
              </w:divBdr>
            </w:div>
            <w:div w:id="1010763835">
              <w:marLeft w:val="0"/>
              <w:marRight w:val="0"/>
              <w:marTop w:val="0"/>
              <w:marBottom w:val="0"/>
              <w:divBdr>
                <w:top w:val="none" w:sz="0" w:space="0" w:color="auto"/>
                <w:left w:val="none" w:sz="0" w:space="0" w:color="auto"/>
                <w:bottom w:val="none" w:sz="0" w:space="0" w:color="auto"/>
                <w:right w:val="none" w:sz="0" w:space="0" w:color="auto"/>
              </w:divBdr>
            </w:div>
            <w:div w:id="1074858887">
              <w:marLeft w:val="0"/>
              <w:marRight w:val="0"/>
              <w:marTop w:val="0"/>
              <w:marBottom w:val="0"/>
              <w:divBdr>
                <w:top w:val="none" w:sz="0" w:space="0" w:color="auto"/>
                <w:left w:val="none" w:sz="0" w:space="0" w:color="auto"/>
                <w:bottom w:val="none" w:sz="0" w:space="0" w:color="auto"/>
                <w:right w:val="none" w:sz="0" w:space="0" w:color="auto"/>
              </w:divBdr>
            </w:div>
            <w:div w:id="1193376808">
              <w:marLeft w:val="0"/>
              <w:marRight w:val="0"/>
              <w:marTop w:val="0"/>
              <w:marBottom w:val="0"/>
              <w:divBdr>
                <w:top w:val="none" w:sz="0" w:space="0" w:color="auto"/>
                <w:left w:val="none" w:sz="0" w:space="0" w:color="auto"/>
                <w:bottom w:val="none" w:sz="0" w:space="0" w:color="auto"/>
                <w:right w:val="none" w:sz="0" w:space="0" w:color="auto"/>
              </w:divBdr>
            </w:div>
            <w:div w:id="1223322343">
              <w:marLeft w:val="0"/>
              <w:marRight w:val="0"/>
              <w:marTop w:val="0"/>
              <w:marBottom w:val="0"/>
              <w:divBdr>
                <w:top w:val="none" w:sz="0" w:space="0" w:color="auto"/>
                <w:left w:val="none" w:sz="0" w:space="0" w:color="auto"/>
                <w:bottom w:val="none" w:sz="0" w:space="0" w:color="auto"/>
                <w:right w:val="none" w:sz="0" w:space="0" w:color="auto"/>
              </w:divBdr>
            </w:div>
            <w:div w:id="1122966262">
              <w:marLeft w:val="0"/>
              <w:marRight w:val="0"/>
              <w:marTop w:val="0"/>
              <w:marBottom w:val="0"/>
              <w:divBdr>
                <w:top w:val="none" w:sz="0" w:space="0" w:color="auto"/>
                <w:left w:val="none" w:sz="0" w:space="0" w:color="auto"/>
                <w:bottom w:val="none" w:sz="0" w:space="0" w:color="auto"/>
                <w:right w:val="none" w:sz="0" w:space="0" w:color="auto"/>
              </w:divBdr>
            </w:div>
            <w:div w:id="1331714387">
              <w:marLeft w:val="0"/>
              <w:marRight w:val="0"/>
              <w:marTop w:val="0"/>
              <w:marBottom w:val="0"/>
              <w:divBdr>
                <w:top w:val="none" w:sz="0" w:space="0" w:color="auto"/>
                <w:left w:val="none" w:sz="0" w:space="0" w:color="auto"/>
                <w:bottom w:val="none" w:sz="0" w:space="0" w:color="auto"/>
                <w:right w:val="none" w:sz="0" w:space="0" w:color="auto"/>
              </w:divBdr>
            </w:div>
            <w:div w:id="1604848164">
              <w:marLeft w:val="0"/>
              <w:marRight w:val="0"/>
              <w:marTop w:val="0"/>
              <w:marBottom w:val="0"/>
              <w:divBdr>
                <w:top w:val="none" w:sz="0" w:space="0" w:color="auto"/>
                <w:left w:val="none" w:sz="0" w:space="0" w:color="auto"/>
                <w:bottom w:val="none" w:sz="0" w:space="0" w:color="auto"/>
                <w:right w:val="none" w:sz="0" w:space="0" w:color="auto"/>
              </w:divBdr>
            </w:div>
            <w:div w:id="115829409">
              <w:marLeft w:val="0"/>
              <w:marRight w:val="0"/>
              <w:marTop w:val="0"/>
              <w:marBottom w:val="0"/>
              <w:divBdr>
                <w:top w:val="none" w:sz="0" w:space="0" w:color="auto"/>
                <w:left w:val="none" w:sz="0" w:space="0" w:color="auto"/>
                <w:bottom w:val="none" w:sz="0" w:space="0" w:color="auto"/>
                <w:right w:val="none" w:sz="0" w:space="0" w:color="auto"/>
              </w:divBdr>
            </w:div>
            <w:div w:id="1200119964">
              <w:marLeft w:val="0"/>
              <w:marRight w:val="0"/>
              <w:marTop w:val="0"/>
              <w:marBottom w:val="0"/>
              <w:divBdr>
                <w:top w:val="none" w:sz="0" w:space="0" w:color="auto"/>
                <w:left w:val="none" w:sz="0" w:space="0" w:color="auto"/>
                <w:bottom w:val="none" w:sz="0" w:space="0" w:color="auto"/>
                <w:right w:val="none" w:sz="0" w:space="0" w:color="auto"/>
              </w:divBdr>
            </w:div>
            <w:div w:id="1384520208">
              <w:marLeft w:val="0"/>
              <w:marRight w:val="0"/>
              <w:marTop w:val="0"/>
              <w:marBottom w:val="0"/>
              <w:divBdr>
                <w:top w:val="none" w:sz="0" w:space="0" w:color="auto"/>
                <w:left w:val="none" w:sz="0" w:space="0" w:color="auto"/>
                <w:bottom w:val="none" w:sz="0" w:space="0" w:color="auto"/>
                <w:right w:val="none" w:sz="0" w:space="0" w:color="auto"/>
              </w:divBdr>
            </w:div>
            <w:div w:id="1928423295">
              <w:marLeft w:val="0"/>
              <w:marRight w:val="0"/>
              <w:marTop w:val="0"/>
              <w:marBottom w:val="0"/>
              <w:divBdr>
                <w:top w:val="none" w:sz="0" w:space="0" w:color="auto"/>
                <w:left w:val="none" w:sz="0" w:space="0" w:color="auto"/>
                <w:bottom w:val="none" w:sz="0" w:space="0" w:color="auto"/>
                <w:right w:val="none" w:sz="0" w:space="0" w:color="auto"/>
              </w:divBdr>
            </w:div>
            <w:div w:id="153301107">
              <w:marLeft w:val="0"/>
              <w:marRight w:val="0"/>
              <w:marTop w:val="0"/>
              <w:marBottom w:val="0"/>
              <w:divBdr>
                <w:top w:val="none" w:sz="0" w:space="0" w:color="auto"/>
                <w:left w:val="none" w:sz="0" w:space="0" w:color="auto"/>
                <w:bottom w:val="none" w:sz="0" w:space="0" w:color="auto"/>
                <w:right w:val="none" w:sz="0" w:space="0" w:color="auto"/>
              </w:divBdr>
            </w:div>
            <w:div w:id="1207063659">
              <w:marLeft w:val="0"/>
              <w:marRight w:val="0"/>
              <w:marTop w:val="0"/>
              <w:marBottom w:val="0"/>
              <w:divBdr>
                <w:top w:val="none" w:sz="0" w:space="0" w:color="auto"/>
                <w:left w:val="none" w:sz="0" w:space="0" w:color="auto"/>
                <w:bottom w:val="none" w:sz="0" w:space="0" w:color="auto"/>
                <w:right w:val="none" w:sz="0" w:space="0" w:color="auto"/>
              </w:divBdr>
            </w:div>
            <w:div w:id="874539570">
              <w:marLeft w:val="0"/>
              <w:marRight w:val="0"/>
              <w:marTop w:val="0"/>
              <w:marBottom w:val="0"/>
              <w:divBdr>
                <w:top w:val="none" w:sz="0" w:space="0" w:color="auto"/>
                <w:left w:val="none" w:sz="0" w:space="0" w:color="auto"/>
                <w:bottom w:val="none" w:sz="0" w:space="0" w:color="auto"/>
                <w:right w:val="none" w:sz="0" w:space="0" w:color="auto"/>
              </w:divBdr>
            </w:div>
            <w:div w:id="575866435">
              <w:marLeft w:val="0"/>
              <w:marRight w:val="0"/>
              <w:marTop w:val="0"/>
              <w:marBottom w:val="0"/>
              <w:divBdr>
                <w:top w:val="none" w:sz="0" w:space="0" w:color="auto"/>
                <w:left w:val="none" w:sz="0" w:space="0" w:color="auto"/>
                <w:bottom w:val="none" w:sz="0" w:space="0" w:color="auto"/>
                <w:right w:val="none" w:sz="0" w:space="0" w:color="auto"/>
              </w:divBdr>
            </w:div>
            <w:div w:id="1118522827">
              <w:marLeft w:val="0"/>
              <w:marRight w:val="0"/>
              <w:marTop w:val="0"/>
              <w:marBottom w:val="0"/>
              <w:divBdr>
                <w:top w:val="none" w:sz="0" w:space="0" w:color="auto"/>
                <w:left w:val="none" w:sz="0" w:space="0" w:color="auto"/>
                <w:bottom w:val="none" w:sz="0" w:space="0" w:color="auto"/>
                <w:right w:val="none" w:sz="0" w:space="0" w:color="auto"/>
              </w:divBdr>
            </w:div>
            <w:div w:id="2138259216">
              <w:marLeft w:val="0"/>
              <w:marRight w:val="0"/>
              <w:marTop w:val="0"/>
              <w:marBottom w:val="0"/>
              <w:divBdr>
                <w:top w:val="none" w:sz="0" w:space="0" w:color="auto"/>
                <w:left w:val="none" w:sz="0" w:space="0" w:color="auto"/>
                <w:bottom w:val="none" w:sz="0" w:space="0" w:color="auto"/>
                <w:right w:val="none" w:sz="0" w:space="0" w:color="auto"/>
              </w:divBdr>
            </w:div>
            <w:div w:id="477265499">
              <w:marLeft w:val="0"/>
              <w:marRight w:val="0"/>
              <w:marTop w:val="0"/>
              <w:marBottom w:val="0"/>
              <w:divBdr>
                <w:top w:val="none" w:sz="0" w:space="0" w:color="auto"/>
                <w:left w:val="none" w:sz="0" w:space="0" w:color="auto"/>
                <w:bottom w:val="none" w:sz="0" w:space="0" w:color="auto"/>
                <w:right w:val="none" w:sz="0" w:space="0" w:color="auto"/>
              </w:divBdr>
              <w:divsChild>
                <w:div w:id="1908030048">
                  <w:marLeft w:val="0"/>
                  <w:marRight w:val="0"/>
                  <w:marTop w:val="0"/>
                  <w:marBottom w:val="0"/>
                  <w:divBdr>
                    <w:top w:val="single" w:sz="12" w:space="0" w:color="000000"/>
                    <w:left w:val="single" w:sz="12" w:space="0" w:color="000000"/>
                    <w:bottom w:val="single" w:sz="12" w:space="0" w:color="000000"/>
                    <w:right w:val="single" w:sz="12" w:space="0" w:color="000000"/>
                  </w:divBdr>
                </w:div>
                <w:div w:id="120465531">
                  <w:marLeft w:val="0"/>
                  <w:marRight w:val="0"/>
                  <w:marTop w:val="0"/>
                  <w:marBottom w:val="0"/>
                  <w:divBdr>
                    <w:top w:val="none" w:sz="0" w:space="0" w:color="auto"/>
                    <w:left w:val="none" w:sz="0" w:space="0" w:color="auto"/>
                    <w:bottom w:val="none" w:sz="0" w:space="0" w:color="auto"/>
                    <w:right w:val="none" w:sz="0" w:space="0" w:color="auto"/>
                  </w:divBdr>
                </w:div>
              </w:divsChild>
            </w:div>
            <w:div w:id="492989250">
              <w:marLeft w:val="0"/>
              <w:marRight w:val="0"/>
              <w:marTop w:val="0"/>
              <w:marBottom w:val="0"/>
              <w:divBdr>
                <w:top w:val="none" w:sz="0" w:space="0" w:color="auto"/>
                <w:left w:val="none" w:sz="0" w:space="0" w:color="auto"/>
                <w:bottom w:val="none" w:sz="0" w:space="0" w:color="auto"/>
                <w:right w:val="none" w:sz="0" w:space="0" w:color="auto"/>
              </w:divBdr>
            </w:div>
            <w:div w:id="340863588">
              <w:marLeft w:val="0"/>
              <w:marRight w:val="0"/>
              <w:marTop w:val="0"/>
              <w:marBottom w:val="0"/>
              <w:divBdr>
                <w:top w:val="none" w:sz="0" w:space="0" w:color="auto"/>
                <w:left w:val="none" w:sz="0" w:space="0" w:color="auto"/>
                <w:bottom w:val="none" w:sz="0" w:space="0" w:color="auto"/>
                <w:right w:val="none" w:sz="0" w:space="0" w:color="auto"/>
              </w:divBdr>
              <w:divsChild>
                <w:div w:id="18100511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4051659">
              <w:marLeft w:val="0"/>
              <w:marRight w:val="0"/>
              <w:marTop w:val="0"/>
              <w:marBottom w:val="0"/>
              <w:divBdr>
                <w:top w:val="none" w:sz="0" w:space="0" w:color="auto"/>
                <w:left w:val="none" w:sz="0" w:space="0" w:color="auto"/>
                <w:bottom w:val="none" w:sz="0" w:space="0" w:color="auto"/>
                <w:right w:val="none" w:sz="0" w:space="0" w:color="auto"/>
              </w:divBdr>
            </w:div>
            <w:div w:id="1081413582">
              <w:marLeft w:val="0"/>
              <w:marRight w:val="0"/>
              <w:marTop w:val="0"/>
              <w:marBottom w:val="0"/>
              <w:divBdr>
                <w:top w:val="none" w:sz="0" w:space="0" w:color="auto"/>
                <w:left w:val="none" w:sz="0" w:space="0" w:color="auto"/>
                <w:bottom w:val="none" w:sz="0" w:space="0" w:color="auto"/>
                <w:right w:val="none" w:sz="0" w:space="0" w:color="auto"/>
              </w:divBdr>
              <w:divsChild>
                <w:div w:id="1731345238">
                  <w:marLeft w:val="0"/>
                  <w:marRight w:val="0"/>
                  <w:marTop w:val="0"/>
                  <w:marBottom w:val="0"/>
                  <w:divBdr>
                    <w:top w:val="single" w:sz="12" w:space="0" w:color="000000"/>
                    <w:left w:val="single" w:sz="12" w:space="0" w:color="000000"/>
                    <w:bottom w:val="single" w:sz="12" w:space="0" w:color="000000"/>
                    <w:right w:val="single" w:sz="12" w:space="0" w:color="000000"/>
                  </w:divBdr>
                </w:div>
                <w:div w:id="2119718669">
                  <w:marLeft w:val="0"/>
                  <w:marRight w:val="0"/>
                  <w:marTop w:val="0"/>
                  <w:marBottom w:val="0"/>
                  <w:divBdr>
                    <w:top w:val="none" w:sz="0" w:space="0" w:color="auto"/>
                    <w:left w:val="none" w:sz="0" w:space="0" w:color="auto"/>
                    <w:bottom w:val="none" w:sz="0" w:space="0" w:color="auto"/>
                    <w:right w:val="none" w:sz="0" w:space="0" w:color="auto"/>
                  </w:divBdr>
                </w:div>
              </w:divsChild>
            </w:div>
            <w:div w:id="1609508927">
              <w:marLeft w:val="0"/>
              <w:marRight w:val="0"/>
              <w:marTop w:val="0"/>
              <w:marBottom w:val="0"/>
              <w:divBdr>
                <w:top w:val="none" w:sz="0" w:space="0" w:color="auto"/>
                <w:left w:val="none" w:sz="0" w:space="0" w:color="auto"/>
                <w:bottom w:val="none" w:sz="0" w:space="0" w:color="auto"/>
                <w:right w:val="none" w:sz="0" w:space="0" w:color="auto"/>
              </w:divBdr>
            </w:div>
            <w:div w:id="1944339492">
              <w:marLeft w:val="0"/>
              <w:marRight w:val="0"/>
              <w:marTop w:val="0"/>
              <w:marBottom w:val="0"/>
              <w:divBdr>
                <w:top w:val="none" w:sz="0" w:space="0" w:color="auto"/>
                <w:left w:val="none" w:sz="0" w:space="0" w:color="auto"/>
                <w:bottom w:val="none" w:sz="0" w:space="0" w:color="auto"/>
                <w:right w:val="none" w:sz="0" w:space="0" w:color="auto"/>
              </w:divBdr>
              <w:divsChild>
                <w:div w:id="29086143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9301562">
              <w:marLeft w:val="0"/>
              <w:marRight w:val="0"/>
              <w:marTop w:val="0"/>
              <w:marBottom w:val="0"/>
              <w:divBdr>
                <w:top w:val="none" w:sz="0" w:space="0" w:color="auto"/>
                <w:left w:val="none" w:sz="0" w:space="0" w:color="auto"/>
                <w:bottom w:val="none" w:sz="0" w:space="0" w:color="auto"/>
                <w:right w:val="none" w:sz="0" w:space="0" w:color="auto"/>
              </w:divBdr>
            </w:div>
            <w:div w:id="1112748456">
              <w:marLeft w:val="0"/>
              <w:marRight w:val="0"/>
              <w:marTop w:val="0"/>
              <w:marBottom w:val="0"/>
              <w:divBdr>
                <w:top w:val="none" w:sz="0" w:space="0" w:color="auto"/>
                <w:left w:val="none" w:sz="0" w:space="0" w:color="auto"/>
                <w:bottom w:val="none" w:sz="0" w:space="0" w:color="auto"/>
                <w:right w:val="none" w:sz="0" w:space="0" w:color="auto"/>
              </w:divBdr>
              <w:divsChild>
                <w:div w:id="20607798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43497516">
              <w:marLeft w:val="0"/>
              <w:marRight w:val="0"/>
              <w:marTop w:val="0"/>
              <w:marBottom w:val="0"/>
              <w:divBdr>
                <w:top w:val="none" w:sz="0" w:space="0" w:color="auto"/>
                <w:left w:val="none" w:sz="0" w:space="0" w:color="auto"/>
                <w:bottom w:val="none" w:sz="0" w:space="0" w:color="auto"/>
                <w:right w:val="none" w:sz="0" w:space="0" w:color="auto"/>
              </w:divBdr>
            </w:div>
            <w:div w:id="643583031">
              <w:marLeft w:val="0"/>
              <w:marRight w:val="0"/>
              <w:marTop w:val="0"/>
              <w:marBottom w:val="0"/>
              <w:divBdr>
                <w:top w:val="none" w:sz="0" w:space="0" w:color="auto"/>
                <w:left w:val="none" w:sz="0" w:space="0" w:color="auto"/>
                <w:bottom w:val="none" w:sz="0" w:space="0" w:color="auto"/>
                <w:right w:val="none" w:sz="0" w:space="0" w:color="auto"/>
              </w:divBdr>
              <w:divsChild>
                <w:div w:id="38090439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0510881">
              <w:marLeft w:val="0"/>
              <w:marRight w:val="0"/>
              <w:marTop w:val="0"/>
              <w:marBottom w:val="0"/>
              <w:divBdr>
                <w:top w:val="none" w:sz="0" w:space="0" w:color="auto"/>
                <w:left w:val="none" w:sz="0" w:space="0" w:color="auto"/>
                <w:bottom w:val="none" w:sz="0" w:space="0" w:color="auto"/>
                <w:right w:val="none" w:sz="0" w:space="0" w:color="auto"/>
              </w:divBdr>
            </w:div>
            <w:div w:id="342242102">
              <w:marLeft w:val="0"/>
              <w:marRight w:val="0"/>
              <w:marTop w:val="0"/>
              <w:marBottom w:val="0"/>
              <w:divBdr>
                <w:top w:val="none" w:sz="0" w:space="0" w:color="auto"/>
                <w:left w:val="none" w:sz="0" w:space="0" w:color="auto"/>
                <w:bottom w:val="none" w:sz="0" w:space="0" w:color="auto"/>
                <w:right w:val="none" w:sz="0" w:space="0" w:color="auto"/>
              </w:divBdr>
              <w:divsChild>
                <w:div w:id="797601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9239073">
              <w:marLeft w:val="0"/>
              <w:marRight w:val="0"/>
              <w:marTop w:val="0"/>
              <w:marBottom w:val="0"/>
              <w:divBdr>
                <w:top w:val="none" w:sz="0" w:space="0" w:color="auto"/>
                <w:left w:val="none" w:sz="0" w:space="0" w:color="auto"/>
                <w:bottom w:val="none" w:sz="0" w:space="0" w:color="auto"/>
                <w:right w:val="none" w:sz="0" w:space="0" w:color="auto"/>
              </w:divBdr>
            </w:div>
            <w:div w:id="360590640">
              <w:marLeft w:val="0"/>
              <w:marRight w:val="0"/>
              <w:marTop w:val="0"/>
              <w:marBottom w:val="0"/>
              <w:divBdr>
                <w:top w:val="none" w:sz="0" w:space="0" w:color="auto"/>
                <w:left w:val="none" w:sz="0" w:space="0" w:color="auto"/>
                <w:bottom w:val="none" w:sz="0" w:space="0" w:color="auto"/>
                <w:right w:val="none" w:sz="0" w:space="0" w:color="auto"/>
              </w:divBdr>
              <w:divsChild>
                <w:div w:id="22768920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790120719">
      <w:bodyDiv w:val="1"/>
      <w:marLeft w:val="0"/>
      <w:marRight w:val="0"/>
      <w:marTop w:val="0"/>
      <w:marBottom w:val="0"/>
      <w:divBdr>
        <w:top w:val="none" w:sz="0" w:space="0" w:color="auto"/>
        <w:left w:val="none" w:sz="0" w:space="0" w:color="auto"/>
        <w:bottom w:val="none" w:sz="0" w:space="0" w:color="auto"/>
        <w:right w:val="none" w:sz="0" w:space="0" w:color="auto"/>
      </w:divBdr>
      <w:divsChild>
        <w:div w:id="1105199834">
          <w:marLeft w:val="0"/>
          <w:marRight w:val="0"/>
          <w:marTop w:val="0"/>
          <w:marBottom w:val="0"/>
          <w:divBdr>
            <w:top w:val="none" w:sz="0" w:space="0" w:color="auto"/>
            <w:left w:val="none" w:sz="0" w:space="0" w:color="auto"/>
            <w:bottom w:val="none" w:sz="0" w:space="0" w:color="auto"/>
            <w:right w:val="none" w:sz="0" w:space="0" w:color="auto"/>
          </w:divBdr>
          <w:divsChild>
            <w:div w:id="1783763546">
              <w:marLeft w:val="0"/>
              <w:marRight w:val="0"/>
              <w:marTop w:val="0"/>
              <w:marBottom w:val="0"/>
              <w:divBdr>
                <w:top w:val="single" w:sz="12" w:space="0" w:color="000000"/>
                <w:left w:val="single" w:sz="12" w:space="0" w:color="000000"/>
                <w:bottom w:val="single" w:sz="12" w:space="0" w:color="000000"/>
                <w:right w:val="single" w:sz="12" w:space="0" w:color="000000"/>
              </w:divBdr>
            </w:div>
            <w:div w:id="374623462">
              <w:marLeft w:val="0"/>
              <w:marRight w:val="0"/>
              <w:marTop w:val="0"/>
              <w:marBottom w:val="0"/>
              <w:divBdr>
                <w:top w:val="none" w:sz="0" w:space="0" w:color="auto"/>
                <w:left w:val="none" w:sz="0" w:space="0" w:color="auto"/>
                <w:bottom w:val="none" w:sz="0" w:space="0" w:color="auto"/>
                <w:right w:val="none" w:sz="0" w:space="0" w:color="auto"/>
              </w:divBdr>
            </w:div>
          </w:divsChild>
        </w:div>
        <w:div w:id="620187505">
          <w:marLeft w:val="0"/>
          <w:marRight w:val="0"/>
          <w:marTop w:val="0"/>
          <w:marBottom w:val="0"/>
          <w:divBdr>
            <w:top w:val="none" w:sz="0" w:space="0" w:color="auto"/>
            <w:left w:val="none" w:sz="0" w:space="0" w:color="auto"/>
            <w:bottom w:val="none" w:sz="0" w:space="0" w:color="auto"/>
            <w:right w:val="none" w:sz="0" w:space="0" w:color="auto"/>
          </w:divBdr>
          <w:divsChild>
            <w:div w:id="1874419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21426240">
          <w:marLeft w:val="0"/>
          <w:marRight w:val="0"/>
          <w:marTop w:val="0"/>
          <w:marBottom w:val="0"/>
          <w:divBdr>
            <w:top w:val="none" w:sz="0" w:space="0" w:color="auto"/>
            <w:left w:val="none" w:sz="0" w:space="0" w:color="auto"/>
            <w:bottom w:val="none" w:sz="0" w:space="0" w:color="auto"/>
            <w:right w:val="none" w:sz="0" w:space="0" w:color="auto"/>
          </w:divBdr>
          <w:divsChild>
            <w:div w:id="1251309486">
              <w:marLeft w:val="0"/>
              <w:marRight w:val="0"/>
              <w:marTop w:val="0"/>
              <w:marBottom w:val="0"/>
              <w:divBdr>
                <w:top w:val="single" w:sz="12" w:space="0" w:color="000000"/>
                <w:left w:val="single" w:sz="12" w:space="0" w:color="000000"/>
                <w:bottom w:val="single" w:sz="12" w:space="0" w:color="000000"/>
                <w:right w:val="single" w:sz="12" w:space="0" w:color="000000"/>
              </w:divBdr>
            </w:div>
            <w:div w:id="1908104166">
              <w:marLeft w:val="0"/>
              <w:marRight w:val="0"/>
              <w:marTop w:val="0"/>
              <w:marBottom w:val="0"/>
              <w:divBdr>
                <w:top w:val="none" w:sz="0" w:space="0" w:color="auto"/>
                <w:left w:val="none" w:sz="0" w:space="0" w:color="auto"/>
                <w:bottom w:val="none" w:sz="0" w:space="0" w:color="auto"/>
                <w:right w:val="none" w:sz="0" w:space="0" w:color="auto"/>
              </w:divBdr>
            </w:div>
          </w:divsChild>
        </w:div>
        <w:div w:id="1946961705">
          <w:marLeft w:val="0"/>
          <w:marRight w:val="0"/>
          <w:marTop w:val="0"/>
          <w:marBottom w:val="0"/>
          <w:divBdr>
            <w:top w:val="none" w:sz="0" w:space="0" w:color="auto"/>
            <w:left w:val="none" w:sz="0" w:space="0" w:color="auto"/>
            <w:bottom w:val="none" w:sz="0" w:space="0" w:color="auto"/>
            <w:right w:val="none" w:sz="0" w:space="0" w:color="auto"/>
          </w:divBdr>
          <w:divsChild>
            <w:div w:id="1377973848">
              <w:marLeft w:val="0"/>
              <w:marRight w:val="0"/>
              <w:marTop w:val="0"/>
              <w:marBottom w:val="0"/>
              <w:divBdr>
                <w:top w:val="single" w:sz="12" w:space="0" w:color="000000"/>
                <w:left w:val="single" w:sz="12" w:space="0" w:color="000000"/>
                <w:bottom w:val="single" w:sz="12" w:space="0" w:color="000000"/>
                <w:right w:val="single" w:sz="12" w:space="0" w:color="000000"/>
              </w:divBdr>
            </w:div>
            <w:div w:id="1639141581">
              <w:marLeft w:val="0"/>
              <w:marRight w:val="0"/>
              <w:marTop w:val="0"/>
              <w:marBottom w:val="0"/>
              <w:divBdr>
                <w:top w:val="none" w:sz="0" w:space="0" w:color="auto"/>
                <w:left w:val="none" w:sz="0" w:space="0" w:color="auto"/>
                <w:bottom w:val="none" w:sz="0" w:space="0" w:color="auto"/>
                <w:right w:val="none" w:sz="0" w:space="0" w:color="auto"/>
              </w:divBdr>
            </w:div>
          </w:divsChild>
        </w:div>
        <w:div w:id="250625427">
          <w:marLeft w:val="0"/>
          <w:marRight w:val="0"/>
          <w:marTop w:val="0"/>
          <w:marBottom w:val="0"/>
          <w:divBdr>
            <w:top w:val="none" w:sz="0" w:space="0" w:color="auto"/>
            <w:left w:val="none" w:sz="0" w:space="0" w:color="auto"/>
            <w:bottom w:val="none" w:sz="0" w:space="0" w:color="auto"/>
            <w:right w:val="none" w:sz="0" w:space="0" w:color="auto"/>
          </w:divBdr>
          <w:divsChild>
            <w:div w:id="2147313535">
              <w:marLeft w:val="0"/>
              <w:marRight w:val="0"/>
              <w:marTop w:val="0"/>
              <w:marBottom w:val="0"/>
              <w:divBdr>
                <w:top w:val="single" w:sz="12" w:space="0" w:color="000000"/>
                <w:left w:val="single" w:sz="12" w:space="0" w:color="000000"/>
                <w:bottom w:val="single" w:sz="12" w:space="0" w:color="000000"/>
                <w:right w:val="single" w:sz="12" w:space="0" w:color="000000"/>
              </w:divBdr>
            </w:div>
            <w:div w:id="669917463">
              <w:marLeft w:val="0"/>
              <w:marRight w:val="0"/>
              <w:marTop w:val="0"/>
              <w:marBottom w:val="0"/>
              <w:divBdr>
                <w:top w:val="none" w:sz="0" w:space="0" w:color="auto"/>
                <w:left w:val="none" w:sz="0" w:space="0" w:color="auto"/>
                <w:bottom w:val="none" w:sz="0" w:space="0" w:color="auto"/>
                <w:right w:val="none" w:sz="0" w:space="0" w:color="auto"/>
              </w:divBdr>
            </w:div>
          </w:divsChild>
        </w:div>
        <w:div w:id="1288854584">
          <w:marLeft w:val="0"/>
          <w:marRight w:val="0"/>
          <w:marTop w:val="0"/>
          <w:marBottom w:val="0"/>
          <w:divBdr>
            <w:top w:val="none" w:sz="0" w:space="0" w:color="auto"/>
            <w:left w:val="none" w:sz="0" w:space="0" w:color="auto"/>
            <w:bottom w:val="none" w:sz="0" w:space="0" w:color="auto"/>
            <w:right w:val="none" w:sz="0" w:space="0" w:color="auto"/>
          </w:divBdr>
          <w:divsChild>
            <w:div w:id="1425687261">
              <w:marLeft w:val="0"/>
              <w:marRight w:val="0"/>
              <w:marTop w:val="0"/>
              <w:marBottom w:val="0"/>
              <w:divBdr>
                <w:top w:val="single" w:sz="12" w:space="0" w:color="000000"/>
                <w:left w:val="single" w:sz="12" w:space="0" w:color="000000"/>
                <w:bottom w:val="single" w:sz="12" w:space="0" w:color="000000"/>
                <w:right w:val="single" w:sz="12" w:space="0" w:color="000000"/>
              </w:divBdr>
            </w:div>
            <w:div w:id="933392704">
              <w:marLeft w:val="0"/>
              <w:marRight w:val="0"/>
              <w:marTop w:val="0"/>
              <w:marBottom w:val="0"/>
              <w:divBdr>
                <w:top w:val="none" w:sz="0" w:space="0" w:color="auto"/>
                <w:left w:val="none" w:sz="0" w:space="0" w:color="auto"/>
                <w:bottom w:val="none" w:sz="0" w:space="0" w:color="auto"/>
                <w:right w:val="none" w:sz="0" w:space="0" w:color="auto"/>
              </w:divBdr>
            </w:div>
          </w:divsChild>
        </w:div>
        <w:div w:id="1767922566">
          <w:marLeft w:val="0"/>
          <w:marRight w:val="0"/>
          <w:marTop w:val="0"/>
          <w:marBottom w:val="0"/>
          <w:divBdr>
            <w:top w:val="none" w:sz="0" w:space="0" w:color="auto"/>
            <w:left w:val="none" w:sz="0" w:space="0" w:color="auto"/>
            <w:bottom w:val="none" w:sz="0" w:space="0" w:color="auto"/>
            <w:right w:val="none" w:sz="0" w:space="0" w:color="auto"/>
          </w:divBdr>
          <w:divsChild>
            <w:div w:id="1752967510">
              <w:marLeft w:val="0"/>
              <w:marRight w:val="0"/>
              <w:marTop w:val="0"/>
              <w:marBottom w:val="0"/>
              <w:divBdr>
                <w:top w:val="single" w:sz="12" w:space="0" w:color="000000"/>
                <w:left w:val="single" w:sz="12" w:space="0" w:color="000000"/>
                <w:bottom w:val="single" w:sz="12" w:space="0" w:color="000000"/>
                <w:right w:val="single" w:sz="12" w:space="0" w:color="000000"/>
              </w:divBdr>
            </w:div>
            <w:div w:id="1272737432">
              <w:marLeft w:val="0"/>
              <w:marRight w:val="0"/>
              <w:marTop w:val="0"/>
              <w:marBottom w:val="0"/>
              <w:divBdr>
                <w:top w:val="none" w:sz="0" w:space="0" w:color="auto"/>
                <w:left w:val="none" w:sz="0" w:space="0" w:color="auto"/>
                <w:bottom w:val="none" w:sz="0" w:space="0" w:color="auto"/>
                <w:right w:val="none" w:sz="0" w:space="0" w:color="auto"/>
              </w:divBdr>
            </w:div>
          </w:divsChild>
        </w:div>
        <w:div w:id="370693990">
          <w:marLeft w:val="0"/>
          <w:marRight w:val="0"/>
          <w:marTop w:val="0"/>
          <w:marBottom w:val="0"/>
          <w:divBdr>
            <w:top w:val="none" w:sz="0" w:space="0" w:color="auto"/>
            <w:left w:val="none" w:sz="0" w:space="0" w:color="auto"/>
            <w:bottom w:val="none" w:sz="0" w:space="0" w:color="auto"/>
            <w:right w:val="none" w:sz="0" w:space="0" w:color="auto"/>
          </w:divBdr>
          <w:divsChild>
            <w:div w:id="1411851613">
              <w:marLeft w:val="0"/>
              <w:marRight w:val="0"/>
              <w:marTop w:val="0"/>
              <w:marBottom w:val="0"/>
              <w:divBdr>
                <w:top w:val="single" w:sz="12" w:space="0" w:color="000000"/>
                <w:left w:val="single" w:sz="12" w:space="0" w:color="000000"/>
                <w:bottom w:val="single" w:sz="12" w:space="0" w:color="000000"/>
                <w:right w:val="single" w:sz="12" w:space="0" w:color="000000"/>
              </w:divBdr>
            </w:div>
            <w:div w:id="1629386954">
              <w:marLeft w:val="0"/>
              <w:marRight w:val="0"/>
              <w:marTop w:val="0"/>
              <w:marBottom w:val="0"/>
              <w:divBdr>
                <w:top w:val="none" w:sz="0" w:space="0" w:color="auto"/>
                <w:left w:val="none" w:sz="0" w:space="0" w:color="auto"/>
                <w:bottom w:val="none" w:sz="0" w:space="0" w:color="auto"/>
                <w:right w:val="none" w:sz="0" w:space="0" w:color="auto"/>
              </w:divBdr>
            </w:div>
          </w:divsChild>
        </w:div>
        <w:div w:id="1379628807">
          <w:marLeft w:val="0"/>
          <w:marRight w:val="0"/>
          <w:marTop w:val="0"/>
          <w:marBottom w:val="0"/>
          <w:divBdr>
            <w:top w:val="none" w:sz="0" w:space="0" w:color="auto"/>
            <w:left w:val="none" w:sz="0" w:space="0" w:color="auto"/>
            <w:bottom w:val="none" w:sz="0" w:space="0" w:color="auto"/>
            <w:right w:val="none" w:sz="0" w:space="0" w:color="auto"/>
          </w:divBdr>
          <w:divsChild>
            <w:div w:id="255671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88644763">
          <w:marLeft w:val="0"/>
          <w:marRight w:val="0"/>
          <w:marTop w:val="0"/>
          <w:marBottom w:val="0"/>
          <w:divBdr>
            <w:top w:val="none" w:sz="0" w:space="0" w:color="auto"/>
            <w:left w:val="none" w:sz="0" w:space="0" w:color="auto"/>
            <w:bottom w:val="none" w:sz="0" w:space="0" w:color="auto"/>
            <w:right w:val="none" w:sz="0" w:space="0" w:color="auto"/>
          </w:divBdr>
          <w:divsChild>
            <w:div w:id="1989897772">
              <w:marLeft w:val="0"/>
              <w:marRight w:val="0"/>
              <w:marTop w:val="0"/>
              <w:marBottom w:val="0"/>
              <w:divBdr>
                <w:top w:val="single" w:sz="12" w:space="0" w:color="000000"/>
                <w:left w:val="single" w:sz="12" w:space="0" w:color="000000"/>
                <w:bottom w:val="single" w:sz="12" w:space="0" w:color="000000"/>
                <w:right w:val="single" w:sz="12" w:space="0" w:color="000000"/>
              </w:divBdr>
            </w:div>
            <w:div w:id="1215115329">
              <w:marLeft w:val="0"/>
              <w:marRight w:val="0"/>
              <w:marTop w:val="0"/>
              <w:marBottom w:val="0"/>
              <w:divBdr>
                <w:top w:val="none" w:sz="0" w:space="0" w:color="auto"/>
                <w:left w:val="none" w:sz="0" w:space="0" w:color="auto"/>
                <w:bottom w:val="none" w:sz="0" w:space="0" w:color="auto"/>
                <w:right w:val="none" w:sz="0" w:space="0" w:color="auto"/>
              </w:divBdr>
            </w:div>
          </w:divsChild>
        </w:div>
        <w:div w:id="763308924">
          <w:marLeft w:val="0"/>
          <w:marRight w:val="0"/>
          <w:marTop w:val="0"/>
          <w:marBottom w:val="0"/>
          <w:divBdr>
            <w:top w:val="none" w:sz="0" w:space="0" w:color="auto"/>
            <w:left w:val="none" w:sz="0" w:space="0" w:color="auto"/>
            <w:bottom w:val="none" w:sz="0" w:space="0" w:color="auto"/>
            <w:right w:val="none" w:sz="0" w:space="0" w:color="auto"/>
          </w:divBdr>
          <w:divsChild>
            <w:div w:id="69003415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64450196">
          <w:marLeft w:val="0"/>
          <w:marRight w:val="0"/>
          <w:marTop w:val="0"/>
          <w:marBottom w:val="0"/>
          <w:divBdr>
            <w:top w:val="none" w:sz="0" w:space="0" w:color="auto"/>
            <w:left w:val="none" w:sz="0" w:space="0" w:color="auto"/>
            <w:bottom w:val="none" w:sz="0" w:space="0" w:color="auto"/>
            <w:right w:val="none" w:sz="0" w:space="0" w:color="auto"/>
          </w:divBdr>
          <w:divsChild>
            <w:div w:id="147988033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90660502">
      <w:bodyDiv w:val="1"/>
      <w:marLeft w:val="0"/>
      <w:marRight w:val="0"/>
      <w:marTop w:val="0"/>
      <w:marBottom w:val="0"/>
      <w:divBdr>
        <w:top w:val="none" w:sz="0" w:space="0" w:color="auto"/>
        <w:left w:val="none" w:sz="0" w:space="0" w:color="auto"/>
        <w:bottom w:val="none" w:sz="0" w:space="0" w:color="auto"/>
        <w:right w:val="none" w:sz="0" w:space="0" w:color="auto"/>
      </w:divBdr>
      <w:divsChild>
        <w:div w:id="147212426">
          <w:marLeft w:val="0"/>
          <w:marRight w:val="0"/>
          <w:marTop w:val="0"/>
          <w:marBottom w:val="0"/>
          <w:divBdr>
            <w:top w:val="none" w:sz="0" w:space="0" w:color="auto"/>
            <w:left w:val="none" w:sz="0" w:space="0" w:color="auto"/>
            <w:bottom w:val="none" w:sz="0" w:space="0" w:color="auto"/>
            <w:right w:val="none" w:sz="0" w:space="0" w:color="auto"/>
          </w:divBdr>
          <w:divsChild>
            <w:div w:id="336273748">
              <w:marLeft w:val="0"/>
              <w:marRight w:val="0"/>
              <w:marTop w:val="0"/>
              <w:marBottom w:val="0"/>
              <w:divBdr>
                <w:top w:val="single" w:sz="12" w:space="0" w:color="000000"/>
                <w:left w:val="single" w:sz="12" w:space="0" w:color="000000"/>
                <w:bottom w:val="single" w:sz="12" w:space="0" w:color="000000"/>
                <w:right w:val="single" w:sz="12" w:space="0" w:color="000000"/>
              </w:divBdr>
            </w:div>
            <w:div w:id="597756782">
              <w:marLeft w:val="0"/>
              <w:marRight w:val="0"/>
              <w:marTop w:val="0"/>
              <w:marBottom w:val="0"/>
              <w:divBdr>
                <w:top w:val="none" w:sz="0" w:space="0" w:color="auto"/>
                <w:left w:val="none" w:sz="0" w:space="0" w:color="auto"/>
                <w:bottom w:val="none" w:sz="0" w:space="0" w:color="auto"/>
                <w:right w:val="none" w:sz="0" w:space="0" w:color="auto"/>
              </w:divBdr>
            </w:div>
            <w:div w:id="936911821">
              <w:marLeft w:val="0"/>
              <w:marRight w:val="0"/>
              <w:marTop w:val="0"/>
              <w:marBottom w:val="0"/>
              <w:divBdr>
                <w:top w:val="none" w:sz="0" w:space="0" w:color="auto"/>
                <w:left w:val="none" w:sz="0" w:space="0" w:color="auto"/>
                <w:bottom w:val="none" w:sz="0" w:space="0" w:color="auto"/>
                <w:right w:val="none" w:sz="0" w:space="0" w:color="auto"/>
              </w:divBdr>
            </w:div>
          </w:divsChild>
        </w:div>
        <w:div w:id="301037425">
          <w:marLeft w:val="0"/>
          <w:marRight w:val="0"/>
          <w:marTop w:val="0"/>
          <w:marBottom w:val="0"/>
          <w:divBdr>
            <w:top w:val="none" w:sz="0" w:space="0" w:color="auto"/>
            <w:left w:val="none" w:sz="0" w:space="0" w:color="auto"/>
            <w:bottom w:val="none" w:sz="0" w:space="0" w:color="auto"/>
            <w:right w:val="none" w:sz="0" w:space="0" w:color="auto"/>
          </w:divBdr>
          <w:divsChild>
            <w:div w:id="12657401">
              <w:marLeft w:val="0"/>
              <w:marRight w:val="0"/>
              <w:marTop w:val="0"/>
              <w:marBottom w:val="0"/>
              <w:divBdr>
                <w:top w:val="single" w:sz="12" w:space="0" w:color="000000"/>
                <w:left w:val="single" w:sz="12" w:space="0" w:color="000000"/>
                <w:bottom w:val="single" w:sz="12" w:space="0" w:color="000000"/>
                <w:right w:val="single" w:sz="12" w:space="0" w:color="000000"/>
              </w:divBdr>
            </w:div>
            <w:div w:id="445546418">
              <w:marLeft w:val="0"/>
              <w:marRight w:val="0"/>
              <w:marTop w:val="0"/>
              <w:marBottom w:val="0"/>
              <w:divBdr>
                <w:top w:val="none" w:sz="0" w:space="0" w:color="auto"/>
                <w:left w:val="none" w:sz="0" w:space="0" w:color="auto"/>
                <w:bottom w:val="none" w:sz="0" w:space="0" w:color="auto"/>
                <w:right w:val="none" w:sz="0" w:space="0" w:color="auto"/>
              </w:divBdr>
            </w:div>
            <w:div w:id="954486913">
              <w:marLeft w:val="0"/>
              <w:marRight w:val="0"/>
              <w:marTop w:val="0"/>
              <w:marBottom w:val="0"/>
              <w:divBdr>
                <w:top w:val="none" w:sz="0" w:space="0" w:color="auto"/>
                <w:left w:val="none" w:sz="0" w:space="0" w:color="auto"/>
                <w:bottom w:val="none" w:sz="0" w:space="0" w:color="auto"/>
                <w:right w:val="none" w:sz="0" w:space="0" w:color="auto"/>
              </w:divBdr>
            </w:div>
          </w:divsChild>
        </w:div>
        <w:div w:id="922297843">
          <w:marLeft w:val="0"/>
          <w:marRight w:val="0"/>
          <w:marTop w:val="0"/>
          <w:marBottom w:val="0"/>
          <w:divBdr>
            <w:top w:val="none" w:sz="0" w:space="0" w:color="auto"/>
            <w:left w:val="none" w:sz="0" w:space="0" w:color="auto"/>
            <w:bottom w:val="none" w:sz="0" w:space="0" w:color="auto"/>
            <w:right w:val="none" w:sz="0" w:space="0" w:color="auto"/>
          </w:divBdr>
          <w:divsChild>
            <w:div w:id="888110954">
              <w:marLeft w:val="0"/>
              <w:marRight w:val="0"/>
              <w:marTop w:val="0"/>
              <w:marBottom w:val="0"/>
              <w:divBdr>
                <w:top w:val="none" w:sz="0" w:space="0" w:color="auto"/>
                <w:left w:val="none" w:sz="0" w:space="0" w:color="auto"/>
                <w:bottom w:val="none" w:sz="0" w:space="0" w:color="auto"/>
                <w:right w:val="none" w:sz="0" w:space="0" w:color="auto"/>
              </w:divBdr>
            </w:div>
            <w:div w:id="16206035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8204950">
          <w:marLeft w:val="0"/>
          <w:marRight w:val="0"/>
          <w:marTop w:val="0"/>
          <w:marBottom w:val="0"/>
          <w:divBdr>
            <w:top w:val="none" w:sz="0" w:space="0" w:color="auto"/>
            <w:left w:val="none" w:sz="0" w:space="0" w:color="auto"/>
            <w:bottom w:val="none" w:sz="0" w:space="0" w:color="auto"/>
            <w:right w:val="none" w:sz="0" w:space="0" w:color="auto"/>
          </w:divBdr>
          <w:divsChild>
            <w:div w:id="1044448592">
              <w:marLeft w:val="0"/>
              <w:marRight w:val="0"/>
              <w:marTop w:val="0"/>
              <w:marBottom w:val="0"/>
              <w:divBdr>
                <w:top w:val="none" w:sz="0" w:space="0" w:color="auto"/>
                <w:left w:val="none" w:sz="0" w:space="0" w:color="auto"/>
                <w:bottom w:val="none" w:sz="0" w:space="0" w:color="auto"/>
                <w:right w:val="none" w:sz="0" w:space="0" w:color="auto"/>
              </w:divBdr>
            </w:div>
            <w:div w:id="15963543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3385367">
          <w:marLeft w:val="0"/>
          <w:marRight w:val="0"/>
          <w:marTop w:val="0"/>
          <w:marBottom w:val="0"/>
          <w:divBdr>
            <w:top w:val="none" w:sz="0" w:space="0" w:color="auto"/>
            <w:left w:val="none" w:sz="0" w:space="0" w:color="auto"/>
            <w:bottom w:val="none" w:sz="0" w:space="0" w:color="auto"/>
            <w:right w:val="none" w:sz="0" w:space="0" w:color="auto"/>
          </w:divBdr>
          <w:divsChild>
            <w:div w:id="306740275">
              <w:marLeft w:val="0"/>
              <w:marRight w:val="0"/>
              <w:marTop w:val="0"/>
              <w:marBottom w:val="0"/>
              <w:divBdr>
                <w:top w:val="single" w:sz="12" w:space="0" w:color="000000"/>
                <w:left w:val="single" w:sz="12" w:space="0" w:color="000000"/>
                <w:bottom w:val="single" w:sz="12" w:space="0" w:color="000000"/>
                <w:right w:val="single" w:sz="12" w:space="0" w:color="000000"/>
              </w:divBdr>
            </w:div>
            <w:div w:id="962425324">
              <w:marLeft w:val="0"/>
              <w:marRight w:val="0"/>
              <w:marTop w:val="0"/>
              <w:marBottom w:val="0"/>
              <w:divBdr>
                <w:top w:val="none" w:sz="0" w:space="0" w:color="auto"/>
                <w:left w:val="none" w:sz="0" w:space="0" w:color="auto"/>
                <w:bottom w:val="none" w:sz="0" w:space="0" w:color="auto"/>
                <w:right w:val="none" w:sz="0" w:space="0" w:color="auto"/>
              </w:divBdr>
            </w:div>
          </w:divsChild>
        </w:div>
        <w:div w:id="1637249400">
          <w:marLeft w:val="0"/>
          <w:marRight w:val="0"/>
          <w:marTop w:val="0"/>
          <w:marBottom w:val="0"/>
          <w:divBdr>
            <w:top w:val="none" w:sz="0" w:space="0" w:color="auto"/>
            <w:left w:val="none" w:sz="0" w:space="0" w:color="auto"/>
            <w:bottom w:val="none" w:sz="0" w:space="0" w:color="auto"/>
            <w:right w:val="none" w:sz="0" w:space="0" w:color="auto"/>
          </w:divBdr>
          <w:divsChild>
            <w:div w:id="364600692">
              <w:marLeft w:val="0"/>
              <w:marRight w:val="0"/>
              <w:marTop w:val="0"/>
              <w:marBottom w:val="0"/>
              <w:divBdr>
                <w:top w:val="none" w:sz="0" w:space="0" w:color="auto"/>
                <w:left w:val="none" w:sz="0" w:space="0" w:color="auto"/>
                <w:bottom w:val="none" w:sz="0" w:space="0" w:color="auto"/>
                <w:right w:val="none" w:sz="0" w:space="0" w:color="auto"/>
              </w:divBdr>
            </w:div>
            <w:div w:id="1188642671">
              <w:marLeft w:val="0"/>
              <w:marRight w:val="0"/>
              <w:marTop w:val="0"/>
              <w:marBottom w:val="0"/>
              <w:divBdr>
                <w:top w:val="single" w:sz="12" w:space="0" w:color="000000"/>
                <w:left w:val="single" w:sz="12" w:space="0" w:color="000000"/>
                <w:bottom w:val="single" w:sz="12" w:space="0" w:color="000000"/>
                <w:right w:val="single" w:sz="12" w:space="0" w:color="000000"/>
              </w:divBdr>
            </w:div>
            <w:div w:id="1489134557">
              <w:marLeft w:val="0"/>
              <w:marRight w:val="0"/>
              <w:marTop w:val="0"/>
              <w:marBottom w:val="0"/>
              <w:divBdr>
                <w:top w:val="none" w:sz="0" w:space="0" w:color="auto"/>
                <w:left w:val="none" w:sz="0" w:space="0" w:color="auto"/>
                <w:bottom w:val="none" w:sz="0" w:space="0" w:color="auto"/>
                <w:right w:val="none" w:sz="0" w:space="0" w:color="auto"/>
              </w:divBdr>
            </w:div>
          </w:divsChild>
        </w:div>
        <w:div w:id="2063677990">
          <w:marLeft w:val="0"/>
          <w:marRight w:val="0"/>
          <w:marTop w:val="0"/>
          <w:marBottom w:val="0"/>
          <w:divBdr>
            <w:top w:val="none" w:sz="0" w:space="0" w:color="auto"/>
            <w:left w:val="none" w:sz="0" w:space="0" w:color="auto"/>
            <w:bottom w:val="none" w:sz="0" w:space="0" w:color="auto"/>
            <w:right w:val="none" w:sz="0" w:space="0" w:color="auto"/>
          </w:divBdr>
          <w:divsChild>
            <w:div w:id="1458722148">
              <w:marLeft w:val="0"/>
              <w:marRight w:val="0"/>
              <w:marTop w:val="0"/>
              <w:marBottom w:val="0"/>
              <w:divBdr>
                <w:top w:val="single" w:sz="12" w:space="0" w:color="000000"/>
                <w:left w:val="single" w:sz="12" w:space="0" w:color="000000"/>
                <w:bottom w:val="single" w:sz="12" w:space="0" w:color="000000"/>
                <w:right w:val="single" w:sz="12" w:space="0" w:color="000000"/>
              </w:divBdr>
            </w:div>
            <w:div w:id="1825465875">
              <w:marLeft w:val="0"/>
              <w:marRight w:val="0"/>
              <w:marTop w:val="0"/>
              <w:marBottom w:val="0"/>
              <w:divBdr>
                <w:top w:val="none" w:sz="0" w:space="0" w:color="auto"/>
                <w:left w:val="none" w:sz="0" w:space="0" w:color="auto"/>
                <w:bottom w:val="none" w:sz="0" w:space="0" w:color="auto"/>
                <w:right w:val="none" w:sz="0" w:space="0" w:color="auto"/>
              </w:divBdr>
            </w:div>
            <w:div w:id="1889879601">
              <w:marLeft w:val="0"/>
              <w:marRight w:val="0"/>
              <w:marTop w:val="0"/>
              <w:marBottom w:val="0"/>
              <w:divBdr>
                <w:top w:val="none" w:sz="0" w:space="0" w:color="auto"/>
                <w:left w:val="none" w:sz="0" w:space="0" w:color="auto"/>
                <w:bottom w:val="none" w:sz="0" w:space="0" w:color="auto"/>
                <w:right w:val="none" w:sz="0" w:space="0" w:color="auto"/>
              </w:divBdr>
            </w:div>
          </w:divsChild>
        </w:div>
        <w:div w:id="2087222245">
          <w:marLeft w:val="0"/>
          <w:marRight w:val="0"/>
          <w:marTop w:val="0"/>
          <w:marBottom w:val="0"/>
          <w:divBdr>
            <w:top w:val="none" w:sz="0" w:space="0" w:color="auto"/>
            <w:left w:val="none" w:sz="0" w:space="0" w:color="auto"/>
            <w:bottom w:val="none" w:sz="0" w:space="0" w:color="auto"/>
            <w:right w:val="none" w:sz="0" w:space="0" w:color="auto"/>
          </w:divBdr>
          <w:divsChild>
            <w:div w:id="446660590">
              <w:marLeft w:val="0"/>
              <w:marRight w:val="0"/>
              <w:marTop w:val="0"/>
              <w:marBottom w:val="0"/>
              <w:divBdr>
                <w:top w:val="single" w:sz="12" w:space="0" w:color="000000"/>
                <w:left w:val="single" w:sz="12" w:space="0" w:color="000000"/>
                <w:bottom w:val="single" w:sz="12" w:space="0" w:color="000000"/>
                <w:right w:val="single" w:sz="12" w:space="0" w:color="000000"/>
              </w:divBdr>
            </w:div>
            <w:div w:id="1775436083">
              <w:marLeft w:val="0"/>
              <w:marRight w:val="0"/>
              <w:marTop w:val="0"/>
              <w:marBottom w:val="0"/>
              <w:divBdr>
                <w:top w:val="none" w:sz="0" w:space="0" w:color="auto"/>
                <w:left w:val="none" w:sz="0" w:space="0" w:color="auto"/>
                <w:bottom w:val="none" w:sz="0" w:space="0" w:color="auto"/>
                <w:right w:val="none" w:sz="0" w:space="0" w:color="auto"/>
              </w:divBdr>
            </w:div>
            <w:div w:id="20342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3979">
      <w:bodyDiv w:val="1"/>
      <w:marLeft w:val="0"/>
      <w:marRight w:val="0"/>
      <w:marTop w:val="0"/>
      <w:marBottom w:val="0"/>
      <w:divBdr>
        <w:top w:val="none" w:sz="0" w:space="0" w:color="auto"/>
        <w:left w:val="none" w:sz="0" w:space="0" w:color="auto"/>
        <w:bottom w:val="none" w:sz="0" w:space="0" w:color="auto"/>
        <w:right w:val="none" w:sz="0" w:space="0" w:color="auto"/>
      </w:divBdr>
      <w:divsChild>
        <w:div w:id="26609125">
          <w:marLeft w:val="0"/>
          <w:marRight w:val="0"/>
          <w:marTop w:val="0"/>
          <w:marBottom w:val="0"/>
          <w:divBdr>
            <w:top w:val="none" w:sz="0" w:space="0" w:color="auto"/>
            <w:left w:val="none" w:sz="0" w:space="0" w:color="auto"/>
            <w:bottom w:val="none" w:sz="0" w:space="0" w:color="auto"/>
            <w:right w:val="none" w:sz="0" w:space="0" w:color="auto"/>
          </w:divBdr>
          <w:divsChild>
            <w:div w:id="14757522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53589087">
          <w:marLeft w:val="0"/>
          <w:marRight w:val="0"/>
          <w:marTop w:val="0"/>
          <w:marBottom w:val="0"/>
          <w:divBdr>
            <w:top w:val="none" w:sz="0" w:space="0" w:color="auto"/>
            <w:left w:val="none" w:sz="0" w:space="0" w:color="auto"/>
            <w:bottom w:val="none" w:sz="0" w:space="0" w:color="auto"/>
            <w:right w:val="none" w:sz="0" w:space="0" w:color="auto"/>
          </w:divBdr>
          <w:divsChild>
            <w:div w:id="4993469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118889">
          <w:marLeft w:val="0"/>
          <w:marRight w:val="0"/>
          <w:marTop w:val="0"/>
          <w:marBottom w:val="0"/>
          <w:divBdr>
            <w:top w:val="none" w:sz="0" w:space="0" w:color="auto"/>
            <w:left w:val="none" w:sz="0" w:space="0" w:color="auto"/>
            <w:bottom w:val="none" w:sz="0" w:space="0" w:color="auto"/>
            <w:right w:val="none" w:sz="0" w:space="0" w:color="auto"/>
          </w:divBdr>
          <w:divsChild>
            <w:div w:id="10803264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2996634">
          <w:marLeft w:val="0"/>
          <w:marRight w:val="0"/>
          <w:marTop w:val="0"/>
          <w:marBottom w:val="0"/>
          <w:divBdr>
            <w:top w:val="none" w:sz="0" w:space="0" w:color="auto"/>
            <w:left w:val="none" w:sz="0" w:space="0" w:color="auto"/>
            <w:bottom w:val="none" w:sz="0" w:space="0" w:color="auto"/>
            <w:right w:val="none" w:sz="0" w:space="0" w:color="auto"/>
          </w:divBdr>
          <w:divsChild>
            <w:div w:id="1172792617">
              <w:marLeft w:val="0"/>
              <w:marRight w:val="0"/>
              <w:marTop w:val="0"/>
              <w:marBottom w:val="0"/>
              <w:divBdr>
                <w:top w:val="none" w:sz="0" w:space="0" w:color="auto"/>
                <w:left w:val="none" w:sz="0" w:space="0" w:color="auto"/>
                <w:bottom w:val="none" w:sz="0" w:space="0" w:color="auto"/>
                <w:right w:val="none" w:sz="0" w:space="0" w:color="auto"/>
              </w:divBdr>
            </w:div>
            <w:div w:id="174445160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2027635083">
      <w:bodyDiv w:val="1"/>
      <w:marLeft w:val="0"/>
      <w:marRight w:val="0"/>
      <w:marTop w:val="0"/>
      <w:marBottom w:val="0"/>
      <w:divBdr>
        <w:top w:val="none" w:sz="0" w:space="0" w:color="auto"/>
        <w:left w:val="none" w:sz="0" w:space="0" w:color="auto"/>
        <w:bottom w:val="none" w:sz="0" w:space="0" w:color="auto"/>
        <w:right w:val="none" w:sz="0" w:space="0" w:color="auto"/>
      </w:divBdr>
      <w:divsChild>
        <w:div w:id="11418428">
          <w:marLeft w:val="0"/>
          <w:marRight w:val="0"/>
          <w:marTop w:val="0"/>
          <w:marBottom w:val="0"/>
          <w:divBdr>
            <w:top w:val="none" w:sz="0" w:space="0" w:color="auto"/>
            <w:left w:val="none" w:sz="0" w:space="0" w:color="auto"/>
            <w:bottom w:val="none" w:sz="0" w:space="0" w:color="auto"/>
            <w:right w:val="none" w:sz="0" w:space="0" w:color="auto"/>
          </w:divBdr>
          <w:divsChild>
            <w:div w:id="1504322165">
              <w:marLeft w:val="0"/>
              <w:marRight w:val="0"/>
              <w:marTop w:val="0"/>
              <w:marBottom w:val="0"/>
              <w:divBdr>
                <w:top w:val="none" w:sz="0" w:space="0" w:color="auto"/>
                <w:left w:val="none" w:sz="0" w:space="0" w:color="auto"/>
                <w:bottom w:val="none" w:sz="0" w:space="0" w:color="auto"/>
                <w:right w:val="none" w:sz="0" w:space="0" w:color="auto"/>
              </w:divBdr>
            </w:div>
            <w:div w:id="1572500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8088105">
          <w:marLeft w:val="0"/>
          <w:marRight w:val="0"/>
          <w:marTop w:val="0"/>
          <w:marBottom w:val="0"/>
          <w:divBdr>
            <w:top w:val="none" w:sz="0" w:space="0" w:color="auto"/>
            <w:left w:val="none" w:sz="0" w:space="0" w:color="auto"/>
            <w:bottom w:val="none" w:sz="0" w:space="0" w:color="auto"/>
            <w:right w:val="none" w:sz="0" w:space="0" w:color="auto"/>
          </w:divBdr>
          <w:divsChild>
            <w:div w:id="2011348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2892594">
          <w:marLeft w:val="0"/>
          <w:marRight w:val="0"/>
          <w:marTop w:val="0"/>
          <w:marBottom w:val="0"/>
          <w:divBdr>
            <w:top w:val="none" w:sz="0" w:space="0" w:color="auto"/>
            <w:left w:val="none" w:sz="0" w:space="0" w:color="auto"/>
            <w:bottom w:val="none" w:sz="0" w:space="0" w:color="auto"/>
            <w:right w:val="none" w:sz="0" w:space="0" w:color="auto"/>
          </w:divBdr>
          <w:divsChild>
            <w:div w:id="9820783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58836889">
          <w:marLeft w:val="0"/>
          <w:marRight w:val="0"/>
          <w:marTop w:val="0"/>
          <w:marBottom w:val="0"/>
          <w:divBdr>
            <w:top w:val="none" w:sz="0" w:space="0" w:color="auto"/>
            <w:left w:val="none" w:sz="0" w:space="0" w:color="auto"/>
            <w:bottom w:val="none" w:sz="0" w:space="0" w:color="auto"/>
            <w:right w:val="none" w:sz="0" w:space="0" w:color="auto"/>
          </w:divBdr>
          <w:divsChild>
            <w:div w:id="5225186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91864261">
          <w:marLeft w:val="0"/>
          <w:marRight w:val="0"/>
          <w:marTop w:val="0"/>
          <w:marBottom w:val="0"/>
          <w:divBdr>
            <w:top w:val="none" w:sz="0" w:space="0" w:color="auto"/>
            <w:left w:val="none" w:sz="0" w:space="0" w:color="auto"/>
            <w:bottom w:val="none" w:sz="0" w:space="0" w:color="auto"/>
            <w:right w:val="none" w:sz="0" w:space="0" w:color="auto"/>
          </w:divBdr>
          <w:divsChild>
            <w:div w:id="1741322311">
              <w:marLeft w:val="0"/>
              <w:marRight w:val="0"/>
              <w:marTop w:val="0"/>
              <w:marBottom w:val="0"/>
              <w:divBdr>
                <w:top w:val="single" w:sz="12" w:space="0" w:color="000000"/>
                <w:left w:val="single" w:sz="12" w:space="0" w:color="000000"/>
                <w:bottom w:val="single" w:sz="12" w:space="0" w:color="000000"/>
                <w:right w:val="single" w:sz="12" w:space="0" w:color="000000"/>
              </w:divBdr>
            </w:div>
            <w:div w:id="1973945485">
              <w:marLeft w:val="0"/>
              <w:marRight w:val="0"/>
              <w:marTop w:val="0"/>
              <w:marBottom w:val="0"/>
              <w:divBdr>
                <w:top w:val="none" w:sz="0" w:space="0" w:color="auto"/>
                <w:left w:val="none" w:sz="0" w:space="0" w:color="auto"/>
                <w:bottom w:val="none" w:sz="0" w:space="0" w:color="auto"/>
                <w:right w:val="none" w:sz="0" w:space="0" w:color="auto"/>
              </w:divBdr>
            </w:div>
          </w:divsChild>
        </w:div>
        <w:div w:id="908885408">
          <w:marLeft w:val="0"/>
          <w:marRight w:val="0"/>
          <w:marTop w:val="0"/>
          <w:marBottom w:val="0"/>
          <w:divBdr>
            <w:top w:val="none" w:sz="0" w:space="0" w:color="auto"/>
            <w:left w:val="none" w:sz="0" w:space="0" w:color="auto"/>
            <w:bottom w:val="none" w:sz="0" w:space="0" w:color="auto"/>
            <w:right w:val="none" w:sz="0" w:space="0" w:color="auto"/>
          </w:divBdr>
          <w:divsChild>
            <w:div w:id="1348361227">
              <w:marLeft w:val="0"/>
              <w:marRight w:val="0"/>
              <w:marTop w:val="0"/>
              <w:marBottom w:val="0"/>
              <w:divBdr>
                <w:top w:val="none" w:sz="0" w:space="0" w:color="auto"/>
                <w:left w:val="none" w:sz="0" w:space="0" w:color="auto"/>
                <w:bottom w:val="none" w:sz="0" w:space="0" w:color="auto"/>
                <w:right w:val="none" w:sz="0" w:space="0" w:color="auto"/>
              </w:divBdr>
            </w:div>
            <w:div w:id="15281768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7043778">
          <w:marLeft w:val="0"/>
          <w:marRight w:val="0"/>
          <w:marTop w:val="0"/>
          <w:marBottom w:val="0"/>
          <w:divBdr>
            <w:top w:val="none" w:sz="0" w:space="0" w:color="auto"/>
            <w:left w:val="none" w:sz="0" w:space="0" w:color="auto"/>
            <w:bottom w:val="none" w:sz="0" w:space="0" w:color="auto"/>
            <w:right w:val="none" w:sz="0" w:space="0" w:color="auto"/>
          </w:divBdr>
          <w:divsChild>
            <w:div w:id="244998596">
              <w:marLeft w:val="0"/>
              <w:marRight w:val="0"/>
              <w:marTop w:val="0"/>
              <w:marBottom w:val="0"/>
              <w:divBdr>
                <w:top w:val="none" w:sz="0" w:space="0" w:color="auto"/>
                <w:left w:val="none" w:sz="0" w:space="0" w:color="auto"/>
                <w:bottom w:val="none" w:sz="0" w:space="0" w:color="auto"/>
                <w:right w:val="none" w:sz="0" w:space="0" w:color="auto"/>
              </w:divBdr>
            </w:div>
            <w:div w:id="18624728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51739861">
          <w:marLeft w:val="0"/>
          <w:marRight w:val="0"/>
          <w:marTop w:val="0"/>
          <w:marBottom w:val="0"/>
          <w:divBdr>
            <w:top w:val="none" w:sz="0" w:space="0" w:color="auto"/>
            <w:left w:val="none" w:sz="0" w:space="0" w:color="auto"/>
            <w:bottom w:val="none" w:sz="0" w:space="0" w:color="auto"/>
            <w:right w:val="none" w:sz="0" w:space="0" w:color="auto"/>
          </w:divBdr>
          <w:divsChild>
            <w:div w:id="166751781">
              <w:marLeft w:val="0"/>
              <w:marRight w:val="0"/>
              <w:marTop w:val="0"/>
              <w:marBottom w:val="0"/>
              <w:divBdr>
                <w:top w:val="single" w:sz="12" w:space="0" w:color="000000"/>
                <w:left w:val="single" w:sz="12" w:space="0" w:color="000000"/>
                <w:bottom w:val="single" w:sz="12" w:space="0" w:color="000000"/>
                <w:right w:val="single" w:sz="12" w:space="0" w:color="000000"/>
              </w:divBdr>
            </w:div>
            <w:div w:id="468596505">
              <w:marLeft w:val="0"/>
              <w:marRight w:val="0"/>
              <w:marTop w:val="0"/>
              <w:marBottom w:val="0"/>
              <w:divBdr>
                <w:top w:val="none" w:sz="0" w:space="0" w:color="auto"/>
                <w:left w:val="none" w:sz="0" w:space="0" w:color="auto"/>
                <w:bottom w:val="none" w:sz="0" w:space="0" w:color="auto"/>
                <w:right w:val="none" w:sz="0" w:space="0" w:color="auto"/>
              </w:divBdr>
            </w:div>
          </w:divsChild>
        </w:div>
        <w:div w:id="1491753276">
          <w:marLeft w:val="0"/>
          <w:marRight w:val="0"/>
          <w:marTop w:val="0"/>
          <w:marBottom w:val="0"/>
          <w:divBdr>
            <w:top w:val="none" w:sz="0" w:space="0" w:color="auto"/>
            <w:left w:val="none" w:sz="0" w:space="0" w:color="auto"/>
            <w:bottom w:val="none" w:sz="0" w:space="0" w:color="auto"/>
            <w:right w:val="none" w:sz="0" w:space="0" w:color="auto"/>
          </w:divBdr>
          <w:divsChild>
            <w:div w:id="511721001">
              <w:marLeft w:val="0"/>
              <w:marRight w:val="0"/>
              <w:marTop w:val="0"/>
              <w:marBottom w:val="0"/>
              <w:divBdr>
                <w:top w:val="none" w:sz="0" w:space="0" w:color="auto"/>
                <w:left w:val="none" w:sz="0" w:space="0" w:color="auto"/>
                <w:bottom w:val="none" w:sz="0" w:space="0" w:color="auto"/>
                <w:right w:val="none" w:sz="0" w:space="0" w:color="auto"/>
              </w:divBdr>
            </w:div>
            <w:div w:id="9357536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7946179">
          <w:marLeft w:val="0"/>
          <w:marRight w:val="0"/>
          <w:marTop w:val="0"/>
          <w:marBottom w:val="0"/>
          <w:divBdr>
            <w:top w:val="none" w:sz="0" w:space="0" w:color="auto"/>
            <w:left w:val="none" w:sz="0" w:space="0" w:color="auto"/>
            <w:bottom w:val="none" w:sz="0" w:space="0" w:color="auto"/>
            <w:right w:val="none" w:sz="0" w:space="0" w:color="auto"/>
          </w:divBdr>
          <w:divsChild>
            <w:div w:id="519513410">
              <w:marLeft w:val="0"/>
              <w:marRight w:val="0"/>
              <w:marTop w:val="0"/>
              <w:marBottom w:val="0"/>
              <w:divBdr>
                <w:top w:val="none" w:sz="0" w:space="0" w:color="auto"/>
                <w:left w:val="none" w:sz="0" w:space="0" w:color="auto"/>
                <w:bottom w:val="none" w:sz="0" w:space="0" w:color="auto"/>
                <w:right w:val="none" w:sz="0" w:space="0" w:color="auto"/>
              </w:divBdr>
            </w:div>
            <w:div w:id="13521019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42244784">
          <w:marLeft w:val="0"/>
          <w:marRight w:val="0"/>
          <w:marTop w:val="0"/>
          <w:marBottom w:val="0"/>
          <w:divBdr>
            <w:top w:val="none" w:sz="0" w:space="0" w:color="auto"/>
            <w:left w:val="none" w:sz="0" w:space="0" w:color="auto"/>
            <w:bottom w:val="none" w:sz="0" w:space="0" w:color="auto"/>
            <w:right w:val="none" w:sz="0" w:space="0" w:color="auto"/>
          </w:divBdr>
          <w:divsChild>
            <w:div w:id="1477263870">
              <w:marLeft w:val="0"/>
              <w:marRight w:val="0"/>
              <w:marTop w:val="0"/>
              <w:marBottom w:val="0"/>
              <w:divBdr>
                <w:top w:val="single" w:sz="12" w:space="0" w:color="000000"/>
                <w:left w:val="single" w:sz="12" w:space="0" w:color="000000"/>
                <w:bottom w:val="single" w:sz="12" w:space="0" w:color="000000"/>
                <w:right w:val="single" w:sz="12" w:space="0" w:color="000000"/>
              </w:divBdr>
            </w:div>
            <w:div w:id="1479491068">
              <w:marLeft w:val="0"/>
              <w:marRight w:val="0"/>
              <w:marTop w:val="0"/>
              <w:marBottom w:val="0"/>
              <w:divBdr>
                <w:top w:val="none" w:sz="0" w:space="0" w:color="auto"/>
                <w:left w:val="none" w:sz="0" w:space="0" w:color="auto"/>
                <w:bottom w:val="none" w:sz="0" w:space="0" w:color="auto"/>
                <w:right w:val="none" w:sz="0" w:space="0" w:color="auto"/>
              </w:divBdr>
            </w:div>
          </w:divsChild>
        </w:div>
        <w:div w:id="2084134924">
          <w:marLeft w:val="0"/>
          <w:marRight w:val="0"/>
          <w:marTop w:val="0"/>
          <w:marBottom w:val="0"/>
          <w:divBdr>
            <w:top w:val="none" w:sz="0" w:space="0" w:color="auto"/>
            <w:left w:val="none" w:sz="0" w:space="0" w:color="auto"/>
            <w:bottom w:val="none" w:sz="0" w:space="0" w:color="auto"/>
            <w:right w:val="none" w:sz="0" w:space="0" w:color="auto"/>
          </w:divBdr>
          <w:divsChild>
            <w:div w:id="927156789">
              <w:marLeft w:val="0"/>
              <w:marRight w:val="0"/>
              <w:marTop w:val="0"/>
              <w:marBottom w:val="0"/>
              <w:divBdr>
                <w:top w:val="none" w:sz="0" w:space="0" w:color="auto"/>
                <w:left w:val="none" w:sz="0" w:space="0" w:color="auto"/>
                <w:bottom w:val="none" w:sz="0" w:space="0" w:color="auto"/>
                <w:right w:val="none" w:sz="0" w:space="0" w:color="auto"/>
              </w:divBdr>
            </w:div>
            <w:div w:id="12926644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c=ecfr&amp;SID=bc628f4b8c45ac710cf54750465a9484&amp;rgn=div6&amp;view=text&amp;node=40:13.0.1.1.1.28&amp;idno=40" TargetMode="External"/><Relationship Id="rId18" Type="http://schemas.openxmlformats.org/officeDocument/2006/relationships/hyperlink" Target="http://www.ecfr.gov/cgi-bin/text-idx?c=ecfr&amp;SID=bc628f4b8c45ac710cf54750465a9484&amp;rgn=div6&amp;view=text&amp;node=40:13.0.1.1.1.28&amp;idno=40" TargetMode="External"/><Relationship Id="rId26" Type="http://schemas.openxmlformats.org/officeDocument/2006/relationships/hyperlink" Target="http://www.ecfr.gov/cgi-bin/text-idx?c=ecfr&amp;SID=bc628f4b8c45ac710cf54750465a9484&amp;rgn=div6&amp;view=text&amp;node=40:13.0.1.1.1.28&amp;idno=40" TargetMode="External"/><Relationship Id="rId39" Type="http://schemas.openxmlformats.org/officeDocument/2006/relationships/hyperlink" Target="http://www.ecfr.gov/cgi-bin/text-idx?c=ecfr&amp;SID=bc628f4b8c45ac710cf54750465a9484&amp;rgn=div6&amp;view=text&amp;node=40:13.0.1.1.1.28&amp;idno=40" TargetMode="External"/><Relationship Id="rId21" Type="http://schemas.openxmlformats.org/officeDocument/2006/relationships/hyperlink" Target="http://www.ecfr.gov/cgi-bin/text-idx?c=ecfr&amp;SID=bc628f4b8c45ac710cf54750465a9484&amp;rgn=div6&amp;view=text&amp;node=40:13.0.1.1.1.28&amp;idno=40" TargetMode="External"/><Relationship Id="rId34" Type="http://schemas.openxmlformats.org/officeDocument/2006/relationships/hyperlink" Target="http://www.ecfr.gov/cgi-bin/text-idx?c=ecfr&amp;SID=bc628f4b8c45ac710cf54750465a9484&amp;rgn=div6&amp;view=text&amp;node=40:13.0.1.1.1.28&amp;idno=40" TargetMode="External"/><Relationship Id="rId42" Type="http://schemas.openxmlformats.org/officeDocument/2006/relationships/hyperlink" Target="http://www.ecfr.gov/cgi-bin/text-idx?c=ecfr&amp;SID=bc628f4b8c45ac710cf54750465a9484&amp;rgn=div6&amp;view=text&amp;node=40:13.0.1.1.1.28&amp;idno=40" TargetMode="External"/><Relationship Id="rId47" Type="http://schemas.openxmlformats.org/officeDocument/2006/relationships/hyperlink" Target="http://www.ecfr.gov/cgi-bin/text-idx?c=ecfr&amp;SID=bc628f4b8c45ac710cf54750465a9484&amp;rgn=div6&amp;view=text&amp;node=40:13.0.1.1.1.28&amp;idno=40" TargetMode="External"/><Relationship Id="rId50" Type="http://schemas.openxmlformats.org/officeDocument/2006/relationships/hyperlink" Target="http://www.ecfr.gov/cgi-bin/text-idx?c=ecfr&amp;SID=bc628f4b8c45ac710cf54750465a9484&amp;rgn=div6&amp;view=text&amp;node=40:13.0.1.1.1.28&amp;idno=40" TargetMode="External"/><Relationship Id="rId55" Type="http://schemas.openxmlformats.org/officeDocument/2006/relationships/hyperlink" Target="http://www.ecfr.gov/cgi-bin/text-idx?c=ecfr&amp;SID=bc628f4b8c45ac710cf54750465a9484&amp;rgn=div6&amp;view=text&amp;node=40:13.0.1.1.1.28&amp;idno=40" TargetMode="External"/><Relationship Id="rId63" Type="http://schemas.openxmlformats.org/officeDocument/2006/relationships/hyperlink" Target="http://www.ecfr.gov/cgi-bin/text-idx?c=ecfr&amp;SID=bc628f4b8c45ac710cf54750465a9484&amp;rgn=div6&amp;view=text&amp;node=40:13.0.1.1.1.28&amp;idno=40" TargetMode="External"/><Relationship Id="rId68" Type="http://schemas.openxmlformats.org/officeDocument/2006/relationships/image" Target="media/image4.gif"/><Relationship Id="rId76" Type="http://schemas.openxmlformats.org/officeDocument/2006/relationships/fontTable" Target="fontTable.xml"/><Relationship Id="rId7" Type="http://schemas.openxmlformats.org/officeDocument/2006/relationships/hyperlink" Target="http://www.ecfr.gov/cgi-bin/retrieveECFR?gp=&amp;SID=bc628f4b8c45ac710cf54750465a9484&amp;n=40y13.0.1.1.1&amp;r=PART&amp;ty=HTML" TargetMode="External"/><Relationship Id="rId71" Type="http://schemas.openxmlformats.org/officeDocument/2006/relationships/image" Target="media/image7.gif"/><Relationship Id="rId2" Type="http://schemas.openxmlformats.org/officeDocument/2006/relationships/styles" Target="styles.xml"/><Relationship Id="rId16" Type="http://schemas.openxmlformats.org/officeDocument/2006/relationships/hyperlink" Target="http://www.ecfr.gov/cgi-bin/text-idx?c=ecfr&amp;SID=bc628f4b8c45ac710cf54750465a9484&amp;rgn=div6&amp;view=text&amp;node=40:13.0.1.1.1.28&amp;idno=40" TargetMode="External"/><Relationship Id="rId29" Type="http://schemas.openxmlformats.org/officeDocument/2006/relationships/hyperlink" Target="http://www.ecfr.gov/cgi-bin/text-idx?c=ecfr&amp;SID=bc628f4b8c45ac710cf54750465a9484&amp;rgn=div6&amp;view=text&amp;node=40:13.0.1.1.1.28&amp;idno=40" TargetMode="External"/><Relationship Id="rId11" Type="http://schemas.openxmlformats.org/officeDocument/2006/relationships/hyperlink" Target="http://www.ecfr.gov/cgi-bin/text-idx?c=ecfr&amp;SID=bc628f4b8c45ac710cf54750465a9484&amp;rgn=div6&amp;view=text&amp;node=40:13.0.1.1.1.28&amp;idno=40" TargetMode="External"/><Relationship Id="rId24" Type="http://schemas.openxmlformats.org/officeDocument/2006/relationships/hyperlink" Target="http://www.ecfr.gov/cgi-bin/text-idx?c=ecfr&amp;SID=bc628f4b8c45ac710cf54750465a9484&amp;rgn=div6&amp;view=text&amp;node=40:13.0.1.1.1.28&amp;idno=40" TargetMode="External"/><Relationship Id="rId32" Type="http://schemas.openxmlformats.org/officeDocument/2006/relationships/hyperlink" Target="http://www.ecfr.gov/cgi-bin/text-idx?c=ecfr&amp;SID=bc628f4b8c45ac710cf54750465a9484&amp;rgn=div6&amp;view=text&amp;node=40:13.0.1.1.1.28&amp;idno=40" TargetMode="External"/><Relationship Id="rId37" Type="http://schemas.openxmlformats.org/officeDocument/2006/relationships/hyperlink" Target="http://www.ecfr.gov/cgi-bin/text-idx?c=ecfr&amp;SID=bc628f4b8c45ac710cf54750465a9484&amp;rgn=div6&amp;view=text&amp;node=40:13.0.1.1.1.28&amp;idno=40" TargetMode="External"/><Relationship Id="rId40" Type="http://schemas.openxmlformats.org/officeDocument/2006/relationships/hyperlink" Target="http://www.ecfr.gov/cgi-bin/text-idx?c=ecfr&amp;SID=bc628f4b8c45ac710cf54750465a9484&amp;rgn=div6&amp;view=text&amp;node=40:13.0.1.1.1.28&amp;idno=40" TargetMode="External"/><Relationship Id="rId45" Type="http://schemas.openxmlformats.org/officeDocument/2006/relationships/hyperlink" Target="http://www.ecfr.gov/cgi-bin/text-idx?c=ecfr&amp;SID=bc628f4b8c45ac710cf54750465a9484&amp;rgn=div6&amp;view=text&amp;node=40:13.0.1.1.1.28&amp;idno=40" TargetMode="External"/><Relationship Id="rId53" Type="http://schemas.openxmlformats.org/officeDocument/2006/relationships/hyperlink" Target="http://www.ecfr.gov/cgi-bin/text-idx?c=ecfr&amp;SID=bc628f4b8c45ac710cf54750465a9484&amp;rgn=div6&amp;view=text&amp;node=40:13.0.1.1.1.28&amp;idno=40" TargetMode="External"/><Relationship Id="rId58" Type="http://schemas.openxmlformats.org/officeDocument/2006/relationships/hyperlink" Target="http://www.ecfr.gov/cgi-bin/text-idx?c=ecfr&amp;SID=bc628f4b8c45ac710cf54750465a9484&amp;rgn=div6&amp;view=text&amp;node=40:13.0.1.1.1.28&amp;idno=40" TargetMode="External"/><Relationship Id="rId66" Type="http://schemas.openxmlformats.org/officeDocument/2006/relationships/image" Target="media/image2.gif"/><Relationship Id="rId7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ecfr.gov/cgi-bin/text-idx?c=ecfr&amp;SID=bc628f4b8c45ac710cf54750465a9484&amp;rgn=div6&amp;view=text&amp;node=40:13.0.1.1.1.28&amp;idno=40" TargetMode="External"/><Relationship Id="rId23" Type="http://schemas.openxmlformats.org/officeDocument/2006/relationships/hyperlink" Target="http://www.ecfr.gov/cgi-bin/text-idx?c=ecfr&amp;SID=bc628f4b8c45ac710cf54750465a9484&amp;rgn=div6&amp;view=text&amp;node=40:13.0.1.1.1.28&amp;idno=40" TargetMode="External"/><Relationship Id="rId28" Type="http://schemas.openxmlformats.org/officeDocument/2006/relationships/hyperlink" Target="http://www.ecfr.gov/cgi-bin/text-idx?c=ecfr&amp;SID=bc628f4b8c45ac710cf54750465a9484&amp;rgn=div6&amp;view=text&amp;node=40:13.0.1.1.1.28&amp;idno=40" TargetMode="External"/><Relationship Id="rId36" Type="http://schemas.openxmlformats.org/officeDocument/2006/relationships/hyperlink" Target="http://www.ecfr.gov/cgi-bin/text-idx?c=ecfr&amp;SID=bc628f4b8c45ac710cf54750465a9484&amp;rgn=div6&amp;view=text&amp;node=40:13.0.1.1.1.28&amp;idno=40" TargetMode="External"/><Relationship Id="rId49" Type="http://schemas.openxmlformats.org/officeDocument/2006/relationships/hyperlink" Target="http://www.ecfr.gov/cgi-bin/text-idx?c=ecfr&amp;SID=bc628f4b8c45ac710cf54750465a9484&amp;rgn=div6&amp;view=text&amp;node=40:13.0.1.1.1.28&amp;idno=40" TargetMode="External"/><Relationship Id="rId57" Type="http://schemas.openxmlformats.org/officeDocument/2006/relationships/hyperlink" Target="http://www.ecfr.gov/cgi-bin/text-idx?c=ecfr&amp;SID=bc628f4b8c45ac710cf54750465a9484&amp;rgn=div6&amp;view=text&amp;node=40:13.0.1.1.1.28&amp;idno=40" TargetMode="External"/><Relationship Id="rId61" Type="http://schemas.openxmlformats.org/officeDocument/2006/relationships/hyperlink" Target="http://www.ecfr.gov/cgi-bin/text-idx?c=ecfr&amp;SID=bc628f4b8c45ac710cf54750465a9484&amp;rgn=div6&amp;view=text&amp;node=40:13.0.1.1.1.28&amp;idno=40" TargetMode="External"/><Relationship Id="rId10" Type="http://schemas.openxmlformats.org/officeDocument/2006/relationships/hyperlink" Target="http://www.ecfr.gov/cgi-bin/text-idx?c=ecfr&amp;SID=bc628f4b8c45ac710cf54750465a9484&amp;rgn=div6&amp;view=text&amp;node=40:13.0.1.1.1.28&amp;idno=40" TargetMode="External"/><Relationship Id="rId19" Type="http://schemas.openxmlformats.org/officeDocument/2006/relationships/hyperlink" Target="http://www.ecfr.gov/cgi-bin/text-idx?c=ecfr&amp;SID=bc628f4b8c45ac710cf54750465a9484&amp;rgn=div6&amp;view=text&amp;node=40:13.0.1.1.1.28&amp;idno=40" TargetMode="External"/><Relationship Id="rId31" Type="http://schemas.openxmlformats.org/officeDocument/2006/relationships/hyperlink" Target="http://www.ecfr.gov/cgi-bin/text-idx?c=ecfr&amp;SID=bc628f4b8c45ac710cf54750465a9484&amp;rgn=div6&amp;view=text&amp;node=40:13.0.1.1.1.28&amp;idno=40" TargetMode="External"/><Relationship Id="rId44" Type="http://schemas.openxmlformats.org/officeDocument/2006/relationships/hyperlink" Target="http://www.ecfr.gov/cgi-bin/text-idx?c=ecfr&amp;SID=bc628f4b8c45ac710cf54750465a9484&amp;rgn=div6&amp;view=text&amp;node=40:13.0.1.1.1.28&amp;idno=40" TargetMode="External"/><Relationship Id="rId52" Type="http://schemas.openxmlformats.org/officeDocument/2006/relationships/hyperlink" Target="http://www.ecfr.gov/cgi-bin/text-idx?c=ecfr&amp;SID=bc628f4b8c45ac710cf54750465a9484&amp;rgn=div6&amp;view=text&amp;node=40:13.0.1.1.1.28&amp;idno=40" TargetMode="External"/><Relationship Id="rId60" Type="http://schemas.openxmlformats.org/officeDocument/2006/relationships/hyperlink" Target="http://www.ecfr.gov/cgi-bin/text-idx?c=ecfr&amp;SID=bc628f4b8c45ac710cf54750465a9484&amp;rgn=div6&amp;view=text&amp;node=40:13.0.1.1.1.28&amp;idno=40" TargetMode="External"/><Relationship Id="rId65" Type="http://schemas.openxmlformats.org/officeDocument/2006/relationships/image" Target="media/image1.gif"/><Relationship Id="rId73" Type="http://schemas.openxmlformats.org/officeDocument/2006/relationships/image" Target="media/image9.gif"/><Relationship Id="rId4" Type="http://schemas.openxmlformats.org/officeDocument/2006/relationships/webSettings" Target="webSettings.xml"/><Relationship Id="rId9" Type="http://schemas.openxmlformats.org/officeDocument/2006/relationships/hyperlink" Target="http://www.ecfr.gov/cgi-bin/text-idx?c=ecfr&amp;SID=bc628f4b8c45ac710cf54750465a9484&amp;rgn=div6&amp;view=text&amp;node=40:13.0.1.1.1.28&amp;idno=40" TargetMode="External"/><Relationship Id="rId14" Type="http://schemas.openxmlformats.org/officeDocument/2006/relationships/hyperlink" Target="http://www.ecfr.gov/cgi-bin/text-idx?c=ecfr&amp;SID=bc628f4b8c45ac710cf54750465a9484&amp;rgn=div6&amp;view=text&amp;node=40:13.0.1.1.1.28&amp;idno=40" TargetMode="External"/><Relationship Id="rId22" Type="http://schemas.openxmlformats.org/officeDocument/2006/relationships/hyperlink" Target="http://www.ecfr.gov/cgi-bin/text-idx?c=ecfr&amp;SID=bc628f4b8c45ac710cf54750465a9484&amp;rgn=div6&amp;view=text&amp;node=40:13.0.1.1.1.28&amp;idno=40" TargetMode="External"/><Relationship Id="rId27" Type="http://schemas.openxmlformats.org/officeDocument/2006/relationships/hyperlink" Target="http://www.ecfr.gov/cgi-bin/text-idx?c=ecfr&amp;SID=bc628f4b8c45ac710cf54750465a9484&amp;rgn=div6&amp;view=text&amp;node=40:13.0.1.1.1.28&amp;idno=40" TargetMode="External"/><Relationship Id="rId30" Type="http://schemas.openxmlformats.org/officeDocument/2006/relationships/hyperlink" Target="http://www.ecfr.gov/cgi-bin/text-idx?c=ecfr&amp;SID=bc628f4b8c45ac710cf54750465a9484&amp;rgn=div6&amp;view=text&amp;node=40:13.0.1.1.1.28&amp;idno=40" TargetMode="External"/><Relationship Id="rId35" Type="http://schemas.openxmlformats.org/officeDocument/2006/relationships/hyperlink" Target="http://www.ecfr.gov/cgi-bin/text-idx?c=ecfr&amp;SID=bc628f4b8c45ac710cf54750465a9484&amp;rgn=div6&amp;view=text&amp;node=40:13.0.1.1.1.28&amp;idno=40" TargetMode="External"/><Relationship Id="rId43" Type="http://schemas.openxmlformats.org/officeDocument/2006/relationships/hyperlink" Target="http://www.ecfr.gov/cgi-bin/text-idx?c=ecfr&amp;SID=bc628f4b8c45ac710cf54750465a9484&amp;rgn=div6&amp;view=text&amp;node=40:13.0.1.1.1.28&amp;idno=40" TargetMode="External"/><Relationship Id="rId48" Type="http://schemas.openxmlformats.org/officeDocument/2006/relationships/hyperlink" Target="http://www.ecfr.gov/cgi-bin/text-idx?c=ecfr&amp;SID=bc628f4b8c45ac710cf54750465a9484&amp;rgn=div6&amp;view=text&amp;node=40:13.0.1.1.1.28&amp;idno=40" TargetMode="External"/><Relationship Id="rId56" Type="http://schemas.openxmlformats.org/officeDocument/2006/relationships/hyperlink" Target="http://www.ecfr.gov/cgi-bin/text-idx?c=ecfr&amp;SID=bc628f4b8c45ac710cf54750465a9484&amp;rgn=div6&amp;view=text&amp;node=40:13.0.1.1.1.28&amp;idno=40" TargetMode="External"/><Relationship Id="rId64" Type="http://schemas.openxmlformats.org/officeDocument/2006/relationships/hyperlink" Target="http://www.ecfr.gov/cgi-bin/text-idx?c=ecfr&amp;SID=bc628f4b8c45ac710cf54750465a9484&amp;rgn=div6&amp;view=text&amp;node=40:13.0.1.1.1.28&amp;idno=40" TargetMode="External"/><Relationship Id="rId69" Type="http://schemas.openxmlformats.org/officeDocument/2006/relationships/image" Target="media/image5.gif"/><Relationship Id="rId77" Type="http://schemas.openxmlformats.org/officeDocument/2006/relationships/theme" Target="theme/theme1.xml"/><Relationship Id="rId8" Type="http://schemas.openxmlformats.org/officeDocument/2006/relationships/hyperlink" Target="http://www.ecfr.gov/cgi-bin/text-idx?c=ecfr&amp;SID=bc628f4b8c45ac710cf54750465a9484&amp;rgn=div6&amp;view=text&amp;node=40:13.0.1.1.1.28&amp;idno=40" TargetMode="External"/><Relationship Id="rId51" Type="http://schemas.openxmlformats.org/officeDocument/2006/relationships/hyperlink" Target="http://www.ecfr.gov/cgi-bin/text-idx?c=ecfr&amp;SID=bc628f4b8c45ac710cf54750465a9484&amp;rgn=div6&amp;view=text&amp;node=40:13.0.1.1.1.28&amp;idno=40" TargetMode="External"/><Relationship Id="rId72" Type="http://schemas.openxmlformats.org/officeDocument/2006/relationships/image" Target="media/image8.gif"/><Relationship Id="rId3" Type="http://schemas.openxmlformats.org/officeDocument/2006/relationships/settings" Target="settings.xml"/><Relationship Id="rId12" Type="http://schemas.openxmlformats.org/officeDocument/2006/relationships/hyperlink" Target="http://www.ecfr.gov/cgi-bin/text-idx?c=ecfr&amp;SID=bc628f4b8c45ac710cf54750465a9484&amp;rgn=div6&amp;view=text&amp;node=40:13.0.1.1.1.28&amp;idno=40" TargetMode="External"/><Relationship Id="rId17" Type="http://schemas.openxmlformats.org/officeDocument/2006/relationships/hyperlink" Target="http://www.ecfr.gov/cgi-bin/text-idx?c=ecfr&amp;SID=bc628f4b8c45ac710cf54750465a9484&amp;rgn=div6&amp;view=text&amp;node=40:13.0.1.1.1.28&amp;idno=40" TargetMode="External"/><Relationship Id="rId25" Type="http://schemas.openxmlformats.org/officeDocument/2006/relationships/hyperlink" Target="http://www.ecfr.gov/cgi-bin/text-idx?c=ecfr&amp;SID=bc628f4b8c45ac710cf54750465a9484&amp;rgn=div6&amp;view=text&amp;node=40:13.0.1.1.1.28&amp;idno=40" TargetMode="External"/><Relationship Id="rId33" Type="http://schemas.openxmlformats.org/officeDocument/2006/relationships/hyperlink" Target="http://www.ecfr.gov/cgi-bin/text-idx?c=ecfr&amp;SID=bc628f4b8c45ac710cf54750465a9484&amp;rgn=div6&amp;view=text&amp;node=40:13.0.1.1.1.28&amp;idno=40" TargetMode="External"/><Relationship Id="rId38" Type="http://schemas.openxmlformats.org/officeDocument/2006/relationships/hyperlink" Target="http://www.ecfr.gov/cgi-bin/text-idx?c=ecfr&amp;SID=bc628f4b8c45ac710cf54750465a9484&amp;rgn=div6&amp;view=text&amp;node=40:13.0.1.1.1.28&amp;idno=40" TargetMode="External"/><Relationship Id="rId46" Type="http://schemas.openxmlformats.org/officeDocument/2006/relationships/hyperlink" Target="http://www.ecfr.gov/cgi-bin/text-idx?c=ecfr&amp;SID=bc628f4b8c45ac710cf54750465a9484&amp;rgn=div6&amp;view=text&amp;node=40:13.0.1.1.1.28&amp;idno=40" TargetMode="External"/><Relationship Id="rId59" Type="http://schemas.openxmlformats.org/officeDocument/2006/relationships/hyperlink" Target="http://www.ecfr.gov/cgi-bin/text-idx?c=ecfr&amp;SID=bc628f4b8c45ac710cf54750465a9484&amp;rgn=div6&amp;view=text&amp;node=40:13.0.1.1.1.28&amp;idno=40" TargetMode="External"/><Relationship Id="rId67" Type="http://schemas.openxmlformats.org/officeDocument/2006/relationships/image" Target="media/image3.gif"/><Relationship Id="rId20" Type="http://schemas.openxmlformats.org/officeDocument/2006/relationships/hyperlink" Target="http://www.ecfr.gov/cgi-bin/text-idx?c=ecfr&amp;SID=bc628f4b8c45ac710cf54750465a9484&amp;rgn=div6&amp;view=text&amp;node=40:13.0.1.1.1.28&amp;idno=40" TargetMode="External"/><Relationship Id="rId41" Type="http://schemas.openxmlformats.org/officeDocument/2006/relationships/hyperlink" Target="http://www.ecfr.gov/cgi-bin/text-idx?c=ecfr&amp;SID=bc628f4b8c45ac710cf54750465a9484&amp;rgn=div6&amp;view=text&amp;node=40:13.0.1.1.1.28&amp;idno=40" TargetMode="External"/><Relationship Id="rId54" Type="http://schemas.openxmlformats.org/officeDocument/2006/relationships/hyperlink" Target="http://www.ecfr.gov/cgi-bin/text-idx?c=ecfr&amp;SID=bc628f4b8c45ac710cf54750465a9484&amp;rgn=div6&amp;view=text&amp;node=40:13.0.1.1.1.28&amp;idno=40" TargetMode="External"/><Relationship Id="rId62" Type="http://schemas.openxmlformats.org/officeDocument/2006/relationships/hyperlink" Target="http://www.ecfr.gov/cgi-bin/text-idx?c=ecfr&amp;SID=bc628f4b8c45ac710cf54750465a9484&amp;rgn=div6&amp;view=text&amp;node=40:13.0.1.1.1.28&amp;idno=40" TargetMode="External"/><Relationship Id="rId70" Type="http://schemas.openxmlformats.org/officeDocument/2006/relationships/image" Target="media/image6.gif"/><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36</Pages>
  <Words>17916</Words>
  <Characters>104437</Characters>
  <Application>Microsoft Office Word</Application>
  <DocSecurity>0</DocSecurity>
  <Lines>870</Lines>
  <Paragraphs>244</Paragraphs>
  <ScaleCrop>false</ScaleCrop>
  <HeadingPairs>
    <vt:vector size="2" baseType="variant">
      <vt:variant>
        <vt:lpstr>Title</vt:lpstr>
      </vt:variant>
      <vt:variant>
        <vt:i4>1</vt:i4>
      </vt:variant>
    </vt:vector>
  </HeadingPairs>
  <TitlesOfParts>
    <vt:vector size="1" baseType="lpstr">
      <vt:lpstr>Subpart D—Standards of Performance for Fossil-Fuel-Fired Steam Generators for Which Construction Is Commenced After August 17, 1971</vt:lpstr>
    </vt:vector>
  </TitlesOfParts>
  <Company>FDEP-DARM</Company>
  <LinksUpToDate>false</LinksUpToDate>
  <CharactersWithSpaces>122109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Subpart D—Standards of Performance for Fossil-Fuel-Fired Steam Generators for Which Construction Is Commenced After August 17, 1971</dc:title>
  <dc:subject/>
  <dc:creator>Corrie Branum</dc:creator>
  <cp:keywords/>
  <dc:description/>
  <cp:lastModifiedBy>radhaa</cp:lastModifiedBy>
  <cp:revision>22</cp:revision>
  <cp:lastPrinted>2010-09-03T14:42:00Z</cp:lastPrinted>
  <dcterms:created xsi:type="dcterms:W3CDTF">2010-09-03T14:45:00Z</dcterms:created>
  <dcterms:modified xsi:type="dcterms:W3CDTF">2013-01-10T15:49:00Z</dcterms:modified>
</cp:coreProperties>
</file>